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9"/>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Минэнерго России от 11.04.2025 N 424</w:t>
              <w:br/>
              <w:t xml:space="preserve">"Об утверждении Порядка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br/>
              <w:t xml:space="preserve">(Зарегистрировано в Минюсте России 30.05.2025 N 82458)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4" w:tooltip="Ссылка на КонсультантПлюс">
              <w:r>
                <w:rPr>
                  <w:sz w:val="28"/>
                  <w:color w:val="0000ff"/>
                  <w:b w:val="on"/>
                </w:rPr>
                <w:t xml:space="preserve">КонсультантПлюс</w:t>
                <w:br/>
                <w:br/>
              </w:r>
            </w:hyperlink>
            <w:hyperlink w:history="0" dor:id="rId5" w:tooltip="Ссылка на КонсультантПлюс">
              <w:r>
                <w:rPr>
                  <w:sz w:val="28"/>
                  <w:color w:val="0000ff"/>
                  <w:b w:val="on"/>
                </w:rPr>
                <w:t xml:space="preserve">www.consultant.ru</w:t>
              </w:r>
            </w:hyperlink>
            <w:r>
              <w:rPr>
                <w:sz w:val="28"/>
              </w:rPr>
              <w:br/>
              <w:br/>
              <w:t xml:space="preserve">Дата сохранения: 14.11.2025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мая 2025 г. N 82458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ЭНЕРГЕТИКИ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11 апреля 2025 г. N 424</w:t>
      </w:r>
    </w:p>
    <w:p>
      <w:pPr>
        <w:pStyle w:val="2"/>
        <w:jc w:val="both"/>
      </w:pPr>
      <w:r>
        <w:rPr>
          <w:sz w:val="24"/>
        </w:rPr>
      </w:r>
    </w:p>
    <w:p>
      <w:pPr>
        <w:pStyle w:val="2"/>
        <w:jc w:val="center"/>
      </w:pPr>
      <w:r>
        <w:rPr>
          <w:sz w:val="24"/>
        </w:rPr>
        <w:t xml:space="preserve">ОБ УТВЕРЖДЕНИИ ПОРЯДКА</w:t>
      </w:r>
    </w:p>
    <w:p>
      <w:pPr>
        <w:pStyle w:val="2"/>
        <w:jc w:val="center"/>
      </w:pPr>
      <w:r>
        <w:rPr>
          <w:sz w:val="24"/>
        </w:rPr>
        <w:t xml:space="preserve">ПОДГОТОВКИ И ВВЕДЕНИЯ В ДЕЙСТВИЕ ГРАФИКОВ ПЕРЕВОДА</w:t>
      </w:r>
    </w:p>
    <w:p>
      <w:pPr>
        <w:pStyle w:val="2"/>
        <w:jc w:val="center"/>
      </w:pPr>
      <w:r>
        <w:rPr>
          <w:sz w:val="24"/>
        </w:rPr>
        <w:t xml:space="preserve">ПОТРЕБИТЕЛЕЙ НА АЛЬТЕРНАТИВНЫЕ ВИДЫ ТОПЛИВА (АВАРИЙНЫЕ</w:t>
      </w:r>
    </w:p>
    <w:p>
      <w:pPr>
        <w:pStyle w:val="2"/>
        <w:jc w:val="center"/>
      </w:pPr>
      <w:r>
        <w:rPr>
          <w:sz w:val="24"/>
        </w:rPr>
        <w:t xml:space="preserve">ИЛИ РЕЗЕРВНЫЕ) И ГРАФИКОВ ЧАСТИЧНОГО ИЛИ ПОЛНОГО ОГРАНИЧЕНИЯ</w:t>
      </w:r>
    </w:p>
    <w:p>
      <w:pPr>
        <w:pStyle w:val="2"/>
        <w:jc w:val="center"/>
      </w:pPr>
      <w:r>
        <w:rPr>
          <w:sz w:val="24"/>
        </w:rPr>
        <w:t xml:space="preserve">ПОДАЧИ ГАЗА ПОТРЕБИТЕЛЯМ В СЛУЧАЕ НАРУШЕНИЯ ТЕХНОЛОГИЧЕСКОГО</w:t>
      </w:r>
    </w:p>
    <w:p>
      <w:pPr>
        <w:pStyle w:val="2"/>
        <w:jc w:val="center"/>
      </w:pPr>
      <w:r>
        <w:rPr>
          <w:sz w:val="24"/>
        </w:rPr>
        <w:t xml:space="preserve">РЕЖИМА РАБОТЫ ГАЗОТРАНСПОРТНОЙ СИСТЕМЫ ПРИ АВАРИИ</w:t>
      </w:r>
    </w:p>
    <w:p>
      <w:pPr>
        <w:pStyle w:val="0"/>
        <w:jc w:val="both"/>
      </w:pPr>
      <w:r>
        <w:rPr>
          <w:sz w:val="24"/>
        </w:rPr>
      </w:r>
    </w:p>
    <w:p>
      <w:pPr>
        <w:pStyle w:val="0"/>
        <w:ind w:firstLine="540"/>
        <w:jc w:val="both"/>
      </w:pPr>
      <w:r>
        <w:rPr>
          <w:sz w:val="24"/>
        </w:rPr>
        <w:t xml:space="preserve">В соответствии с </w:t>
      </w:r>
      <w:hyperlink w:history="0" dor:id="rId8" w:tooltip="Федеральный закон от 31.03.1999 N 69-ФЗ (ред. от 28.12.2024) &quot;О газоснабжении в Российской Федерации&quot;  {КонсультантПлюс}">
        <w:r>
          <w:rPr>
            <w:sz w:val="24"/>
            <w:color w:val="0000ff"/>
          </w:rPr>
          <w:t xml:space="preserve">абзацем восьмым части первой статьи 8</w:t>
        </w:r>
      </w:hyperlink>
      <w:r>
        <w:rPr>
          <w:sz w:val="24"/>
        </w:rPr>
        <w:t xml:space="preserve"> Федерального закона от 31 марта 1999 г. N 69-ФЗ "О газоснабжении в Российской Федерации", </w:t>
      </w:r>
      <w:hyperlink w:history="0" dor:id="rId9" w:tooltip="Постановление Правительства РФ от 28.05.2008 N 400 (ред. от 08.10.2025) &quot;О Министерстве энергетики Российской Федерации&quot;  {КонсультантПлюс}">
        <w:r>
          <w:rPr>
            <w:sz w:val="24"/>
            <w:color w:val="0000ff"/>
          </w:rPr>
          <w:t xml:space="preserve">подпунктом 4.2.14(28) пункта 4</w:t>
        </w:r>
      </w:hyperlink>
      <w:r>
        <w:rPr>
          <w:sz w:val="24"/>
        </w:rP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pPr>
        <w:pStyle w:val="0"/>
        <w:spacing w:before="240" w:lineRule="auto"/>
        <w:ind w:firstLine="540"/>
        <w:jc w:val="both"/>
      </w:pPr>
      <w:r>
        <w:rPr>
          <w:sz w:val="24"/>
        </w:rPr>
        <w:t xml:space="preserve">1. Утвердить прилагаемый </w:t>
      </w:r>
      <w:hyperlink w:history="0" w:anchor="P40" w:tooltip="ПОРЯДОК">
        <w:r>
          <w:rPr>
            <w:sz w:val="24"/>
            <w:color w:val="0000ff"/>
          </w:rPr>
          <w:t xml:space="preserve">Порядок</w:t>
        </w:r>
      </w:hyperlink>
      <w:r>
        <w:rPr>
          <w:sz w:val="24"/>
        </w:rPr>
        <w:t xml:space="preserve">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dor:id="rId10" w:tooltip="Приказ Минэнерго РФ от 16.12.2002 N 448 &quot;Об утверждении нормативных актов, необходимых для реализации Правил пользования газом и предоставления услуг по газоснабжению в Российской Федерации&quot; (Зарегистрировано в Минюсте РФ 04.02.2003 N 4181)  ------------ Утратил силу или отменен  {КонсультантПлюс}">
        <w:r>
          <w:rPr>
            <w:sz w:val="24"/>
            <w:color w:val="0000ff"/>
          </w:rPr>
          <w:t xml:space="preserve">приказ</w:t>
        </w:r>
      </w:hyperlink>
      <w:r>
        <w:rPr>
          <w:sz w:val="24"/>
        </w:rPr>
        <w:t xml:space="preserve"> Минэнерго России от 16 декабря 2002 г. N 448 "Об утверждении нормативных актов, необходимых для реализации Правил пользования газом и предоставления услуг по газоснабжению в Российской Федерации"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Минюстом России 4 февраля 2003 г., регистрационный N 4181.</w:t>
      </w:r>
    </w:p>
    <w:p>
      <w:pPr>
        <w:pStyle w:val="0"/>
        <w:jc w:val="both"/>
      </w:pPr>
      <w:r>
        <w:rPr>
          <w:sz w:val="24"/>
        </w:rPr>
      </w:r>
    </w:p>
    <w:p>
      <w:pPr>
        <w:pStyle w:val="0"/>
        <w:ind w:firstLine="540"/>
        <w:jc w:val="both"/>
      </w:pPr>
      <w:hyperlink w:history="0" dor:id="rId11" w:tooltip="Приказ Минэнерго РФ от 30.12.2011 N 652 &quot;Об утверждении Порядка подготовки указаний о введении в действие графиков перевода потребителей на резервные виды топлива при похолодании и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quot; (Зарегистрировано в Минюсте РФ 06.02.2012 N 23144)  ------------ Утратил силу или отменен  {КонсультантПлюс}">
        <w:r>
          <w:rPr>
            <w:sz w:val="24"/>
            <w:color w:val="0000ff"/>
          </w:rPr>
          <w:t xml:space="preserve">приказ</w:t>
        </w:r>
      </w:hyperlink>
      <w:r>
        <w:rPr>
          <w:sz w:val="24"/>
        </w:rPr>
        <w:t xml:space="preserve"> Минэнерго России от 30 декабря 2011 г. N 652 "Об утверждении Порядка подготовки указаний о введении в действие графиков перевода потребителей на резервные виды топлива при похолодании и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Минюстом России 6 февраля 2012 г., регистрационный N 23144.</w:t>
      </w:r>
    </w:p>
    <w:p>
      <w:pPr>
        <w:pStyle w:val="0"/>
        <w:jc w:val="both"/>
      </w:pPr>
      <w:r>
        <w:rPr>
          <w:sz w:val="24"/>
        </w:rPr>
      </w:r>
    </w:p>
    <w:p>
      <w:pPr>
        <w:pStyle w:val="0"/>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Врио Министра</w:t>
      </w:r>
    </w:p>
    <w:p>
      <w:pPr>
        <w:pStyle w:val="0"/>
        <w:jc w:val="right"/>
      </w:pPr>
      <w:r>
        <w:rPr>
          <w:sz w:val="24"/>
        </w:rPr>
        <w:t xml:space="preserve">Д.В.ИСЛАМОВ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Минэнерго России</w:t>
      </w:r>
    </w:p>
    <w:p>
      <w:pPr>
        <w:pStyle w:val="0"/>
        <w:jc w:val="right"/>
      </w:pPr>
      <w:r>
        <w:rPr>
          <w:sz w:val="24"/>
        </w:rPr>
        <w:t xml:space="preserve">от 11 апреля 2025 г. N 424</w:t>
      </w:r>
    </w:p>
    <w:p>
      <w:pPr>
        <w:pStyle w:val="0"/>
        <w:jc w:val="both"/>
      </w:pPr>
      <w:r>
        <w:rPr>
          <w:sz w:val="24"/>
        </w:rPr>
      </w:r>
    </w:p>
    <w:bookmarkStart w:id="40" w:name="P40"/>
    <w:bookmarkEnd w:id="40"/>
    <w:p>
      <w:pPr>
        <w:pStyle w:val="2"/>
        <w:jc w:val="center"/>
      </w:pPr>
      <w:r>
        <w:rPr>
          <w:sz w:val="24"/>
        </w:rPr>
        <w:t xml:space="preserve">ПОРЯДОК</w:t>
      </w:r>
    </w:p>
    <w:p>
      <w:pPr>
        <w:pStyle w:val="2"/>
        <w:jc w:val="center"/>
      </w:pPr>
      <w:r>
        <w:rPr>
          <w:sz w:val="24"/>
        </w:rPr>
        <w:t xml:space="preserve">ПОДГОТОВКИ И ВВЕДЕНИЯ В ДЕЙСТВИЕ ГРАФИКОВ ПЕРЕВОДА</w:t>
      </w:r>
    </w:p>
    <w:p>
      <w:pPr>
        <w:pStyle w:val="2"/>
        <w:jc w:val="center"/>
      </w:pPr>
      <w:r>
        <w:rPr>
          <w:sz w:val="24"/>
        </w:rPr>
        <w:t xml:space="preserve">ПОТРЕБИТЕЛЕЙ НА АЛЬТЕРНАТИВНЫЕ ВИДЫ ТОПЛИВА (АВАРИЙНЫЕ</w:t>
      </w:r>
    </w:p>
    <w:p>
      <w:pPr>
        <w:pStyle w:val="2"/>
        <w:jc w:val="center"/>
      </w:pPr>
      <w:r>
        <w:rPr>
          <w:sz w:val="24"/>
        </w:rPr>
        <w:t xml:space="preserve">ИЛИ РЕЗЕРВНЫЕ) И ГРАФИКОВ ЧАСТИЧНОГО ИЛИ ПОЛНОГО ОГРАНИЧЕНИЯ</w:t>
      </w:r>
    </w:p>
    <w:p>
      <w:pPr>
        <w:pStyle w:val="2"/>
        <w:jc w:val="center"/>
      </w:pPr>
      <w:r>
        <w:rPr>
          <w:sz w:val="24"/>
        </w:rPr>
        <w:t xml:space="preserve">ПОДАЧИ ГАЗА ПОТРЕБИТЕЛЯМ В СЛУЧАЕ НАРУШЕНИЯ ТЕХНОЛОГИЧЕСКОГО</w:t>
      </w:r>
    </w:p>
    <w:p>
      <w:pPr>
        <w:pStyle w:val="2"/>
        <w:jc w:val="center"/>
      </w:pPr>
      <w:r>
        <w:rPr>
          <w:sz w:val="24"/>
        </w:rPr>
        <w:t xml:space="preserve">РЕЖИМА РАБОТЫ ГАЗОТРАНСПОРТНОЙ СИСТЕМЫ ПРИ АВАРИИ</w:t>
      </w:r>
    </w:p>
    <w:p>
      <w:pPr>
        <w:pStyle w:val="0"/>
        <w:jc w:val="both"/>
      </w:pPr>
      <w:r>
        <w:rPr>
          <w:sz w:val="24"/>
        </w:rPr>
      </w:r>
    </w:p>
    <w:p>
      <w:pPr>
        <w:pStyle w:val="0"/>
        <w:ind w:firstLine="540"/>
        <w:jc w:val="both"/>
      </w:pPr>
      <w:r>
        <w:rPr>
          <w:sz w:val="24"/>
        </w:rPr>
        <w:t xml:space="preserve">1. Настоящим Порядком устанавливаются правила подготовки графиков перевода потребителей на альтернативные виды топлива (аварийные или резервные) (далее - графики перевода),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(далее - графики ограничения подачи газа), включая их разработку, согласование и утверждение, а также правила введения в действие указанных графиков.</w:t>
      </w:r>
    </w:p>
    <w:bookmarkStart w:id="48" w:name="P48"/>
    <w:bookmarkEnd w:id="48"/>
    <w:p>
      <w:pPr>
        <w:pStyle w:val="0"/>
        <w:spacing w:before="240" w:lineRule="auto"/>
        <w:ind w:firstLine="540"/>
        <w:jc w:val="both"/>
      </w:pPr>
      <w:r>
        <w:rPr>
          <w:sz w:val="24"/>
        </w:rPr>
        <w:t xml:space="preserve">2. Графики перевода разрабатываются в субъекте Российской Федерации поставщиками природного газа, осуществляющими его поставки на территории такого субъекта Российской Федерации по трубопроводам организациям - потребителям газа, которые в соответствии с правилами пользования газом и предоставления услуг по газоснабжению, утверждаемыми Правительством Российской Федерации в соответствии с </w:t>
      </w:r>
      <w:hyperlink w:history="0" dor:id="rId12" w:tooltip="Федеральный закон от 31.03.1999 N 69-ФЗ (ред. от 28.12.2024) &quot;О газоснабжении в Российской Федерации&quot;  {КонсультантПлюс}">
        <w:r>
          <w:rPr>
            <w:sz w:val="24"/>
            <w:color w:val="0000ff"/>
          </w:rPr>
          <w:t xml:space="preserve">абзацем третьим части второй статьи 8</w:t>
        </w:r>
      </w:hyperlink>
      <w:r>
        <w:rPr>
          <w:sz w:val="24"/>
        </w:rPr>
        <w:t xml:space="preserve"> Федерального закона от 31 марта 1999 г. N 69-ФЗ "О газоснабжении в Российской Федерации", обязаны обеспечивать готовность резервных топливных хозяйств и оборудования к работе на резервном топливе, а также создавать запасы топлива для тепловых электростанций и источников тепловой энергии в соответствии с законодательством Российской Федерации в сфере электроэнергетики и теплоснабжения (далее - организации, обязанные иметь РТХ), не позднее 15 июля текущего года на четвертый квартал текущего года и первый квартал года, следующего за текущим годом, по рекомендуемому образцу согласно </w:t>
      </w:r>
      <w:hyperlink w:history="0" w:anchor="P119" w:tooltip="ГРАФИК">
        <w:r>
          <w:rPr>
            <w:sz w:val="24"/>
            <w:color w:val="0000ff"/>
          </w:rPr>
          <w:t xml:space="preserve">приложению N 1</w:t>
        </w:r>
      </w:hyperlink>
      <w:r>
        <w:rPr>
          <w:sz w:val="24"/>
        </w:rPr>
        <w:t xml:space="preserve"> к настоящему Порядку на основании сведений о необходимых объемах высвобождения газа по субъектам Российской Федерации, направляемых разработчикам графиков перевода организацией - собственником Единой системы газоснабжения &lt;1&gt; (далее - ЕСГ), организациями - собственниками региональных систем газоснабжения &lt;2&gt; (далее - РСГ) (в случае если на территории субъекта Российской Федерации функционирует РСГ) не позднее чем за десять дней до окончания второго квартала текущего года.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dor:id="rId13" w:tooltip="Федеральный закон от 31.03.1999 N 69-ФЗ (ред. от 28.12.2024) &quot;О газоснабжении в Российской Федерации&quot;  {КонсультантПлюс}">
        <w:r>
          <w:rPr>
            <w:sz w:val="24"/>
            <w:color w:val="0000ff"/>
          </w:rPr>
          <w:t xml:space="preserve">Статья 6</w:t>
        </w:r>
      </w:hyperlink>
      <w:r>
        <w:rPr>
          <w:sz w:val="24"/>
        </w:rPr>
        <w:t xml:space="preserve"> Федерального закона от 31 марта 1999 г. N 69-ФЗ "О газоснабжении в Российской Федерации".</w:t>
      </w:r>
    </w:p>
    <w:p>
      <w:pPr>
        <w:pStyle w:val="0"/>
        <w:spacing w:before="240" w:lineRule="auto"/>
        <w:ind w:firstLine="540"/>
        <w:jc w:val="both"/>
      </w:pPr>
      <w:r>
        <w:rPr>
          <w:sz w:val="24"/>
        </w:rPr>
        <w:t xml:space="preserve">&lt;2&gt; </w:t>
      </w:r>
      <w:hyperlink w:history="0" dor:id="rId14" w:tooltip="Федеральный закон от 31.03.1999 N 69-ФЗ (ред. от 28.12.2024) &quot;О газоснабжении в Российской Федерации&quot;  {КонсультантПлюс}">
        <w:r>
          <w:rPr>
            <w:sz w:val="24"/>
            <w:color w:val="0000ff"/>
          </w:rPr>
          <w:t xml:space="preserve">Статья 7</w:t>
        </w:r>
      </w:hyperlink>
      <w:r>
        <w:rPr>
          <w:sz w:val="24"/>
        </w:rPr>
        <w:t xml:space="preserve"> Федерального закона от 31 марта 1999 г. N 69-ФЗ "О газоснабжении в Российской Федерации".</w:t>
      </w:r>
    </w:p>
    <w:p>
      <w:pPr>
        <w:pStyle w:val="0"/>
        <w:jc w:val="both"/>
      </w:pPr>
      <w:r>
        <w:rPr>
          <w:sz w:val="24"/>
        </w:rPr>
      </w:r>
    </w:p>
    <w:p>
      <w:pPr>
        <w:pStyle w:val="0"/>
        <w:ind w:firstLine="540"/>
        <w:jc w:val="both"/>
      </w:pPr>
      <w:r>
        <w:rPr>
          <w:sz w:val="24"/>
        </w:rPr>
        <w:t xml:space="preserve">Организации - потребители газа, указанные в </w:t>
      </w:r>
      <w:hyperlink w:history="0" w:anchor="P48" w:tooltip="2. Графики перевода разрабатываются в субъекте Российской Федерации поставщиками природного газа, осуществляющими его поставки на территории такого субъекта Российской Федерации по трубопроводам организациям - потребителям газа, которые в соответствии с правилами пользования газом и предоставления услуг по газоснабжению, утверждаемыми Правительством Российской Федерации в соответствии с абзацем третьим части второй статьи 8 Федерального закона от 31 марта 1999 г. N 69-ФЗ &quot;О газоснабжении в Российской Фед...">
        <w:r>
          <w:rPr>
            <w:sz w:val="24"/>
            <w:color w:val="0000ff"/>
          </w:rPr>
          <w:t xml:space="preserve">абзаце первом</w:t>
        </w:r>
      </w:hyperlink>
      <w:r>
        <w:rPr>
          <w:sz w:val="24"/>
        </w:rPr>
        <w:t xml:space="preserve"> настоящего пункта, должны предоставлять разработчикам графиков перевода сведения, подлежащие включению в графики перевода согласно </w:t>
      </w:r>
      <w:hyperlink w:history="0" w:anchor="P119" w:tooltip="ГРАФИК">
        <w:r>
          <w:rPr>
            <w:sz w:val="24"/>
            <w:color w:val="0000ff"/>
          </w:rPr>
          <w:t xml:space="preserve">приложению N 1</w:t>
        </w:r>
      </w:hyperlink>
      <w:r>
        <w:rPr>
          <w:sz w:val="24"/>
        </w:rPr>
        <w:t xml:space="preserve"> к настоящему Порядку.</w:t>
      </w:r>
    </w:p>
    <w:p>
      <w:pPr>
        <w:pStyle w:val="0"/>
        <w:spacing w:before="240" w:lineRule="auto"/>
        <w:ind w:firstLine="540"/>
        <w:jc w:val="both"/>
      </w:pPr>
      <w:r>
        <w:rPr>
          <w:sz w:val="24"/>
        </w:rPr>
        <w:t xml:space="preserve">3. В графики перевода включаются все организации, обязанные иметь РТХ.</w:t>
      </w:r>
    </w:p>
    <w:bookmarkStart w:id="55" w:name="P55"/>
    <w:bookmarkEnd w:id="55"/>
    <w:p>
      <w:pPr>
        <w:pStyle w:val="0"/>
        <w:spacing w:before="240" w:lineRule="auto"/>
        <w:ind w:firstLine="540"/>
        <w:jc w:val="both"/>
      </w:pPr>
      <w:r>
        <w:rPr>
          <w:sz w:val="24"/>
        </w:rPr>
        <w:t xml:space="preserve">4. Разработанные графики перевода направляются в срок до 20 июля текущего года на согласование газотранспортным организациям и газораспределительным организациям, осуществляющим транспортировку газа на территории субъекта Российской Федерации, в отношении которого разрабатываются такие графики перевода (далее - участники согласования).</w:t>
      </w:r>
    </w:p>
    <w:bookmarkStart w:id="56" w:name="P56"/>
    <w:bookmarkEnd w:id="56"/>
    <w:p>
      <w:pPr>
        <w:pStyle w:val="0"/>
        <w:spacing w:before="240" w:lineRule="auto"/>
        <w:ind w:firstLine="540"/>
        <w:jc w:val="both"/>
      </w:pPr>
      <w:r>
        <w:rPr>
          <w:sz w:val="24"/>
        </w:rPr>
        <w:t xml:space="preserve">Согласование графиков перевода участниками согласования осуществляется в срок до 15 августа текущего года.</w:t>
      </w:r>
    </w:p>
    <w:bookmarkStart w:id="57" w:name="P57"/>
    <w:bookmarkEnd w:id="57"/>
    <w:p>
      <w:pPr>
        <w:pStyle w:val="0"/>
        <w:spacing w:before="240" w:lineRule="auto"/>
        <w:ind w:firstLine="540"/>
        <w:jc w:val="both"/>
      </w:pPr>
      <w:r>
        <w:rPr>
          <w:sz w:val="24"/>
        </w:rPr>
        <w:t xml:space="preserve">При наличии замечаний к графикам перевода участники согласования должны направить такие замечания в письменной форме разработчикам графиков перевода, которыми принимаются меры к урегулированию возникших разногласий и согласованию графиков перевода в установленный </w:t>
      </w:r>
      <w:hyperlink w:history="0" w:anchor="P56" w:tooltip="Согласование графиков перевода участниками согласования осуществляется в срок до 15 августа текущего года.">
        <w:r>
          <w:rPr>
            <w:sz w:val="24"/>
            <w:color w:val="0000ff"/>
          </w:rPr>
          <w:t xml:space="preserve">абзацем вторым</w:t>
        </w:r>
      </w:hyperlink>
      <w:r>
        <w:rPr>
          <w:sz w:val="24"/>
        </w:rPr>
        <w:t xml:space="preserve"> настоящего пункта срок, в том числе организуются и проводятся совещания по рассмотрению и разрешению представленных замечаний с участием представителей участников согласования, представляются участникам согласования письменные предложения по урегулированию разногласий и (или) доработанные по представленным замечаниям графики перевода для согласования.</w:t>
      </w:r>
    </w:p>
    <w:p>
      <w:pPr>
        <w:pStyle w:val="0"/>
        <w:spacing w:before="240" w:lineRule="auto"/>
        <w:ind w:firstLine="540"/>
        <w:jc w:val="both"/>
      </w:pPr>
      <w:r>
        <w:rPr>
          <w:sz w:val="24"/>
        </w:rPr>
        <w:t xml:space="preserve">В случае если участниками согласования в установленный </w:t>
      </w:r>
      <w:hyperlink w:history="0" w:anchor="P56" w:tooltip="Согласование графиков перевода участниками согласования осуществляется в срок до 15 августа текущего года.">
        <w:r>
          <w:rPr>
            <w:sz w:val="24"/>
            <w:color w:val="0000ff"/>
          </w:rPr>
          <w:t xml:space="preserve">абзацем вторым</w:t>
        </w:r>
      </w:hyperlink>
      <w:r>
        <w:rPr>
          <w:sz w:val="24"/>
        </w:rPr>
        <w:t xml:space="preserve"> настоящего пункта Порядка срок графики перевода не согласованы и не представлены замечания к таким графикам перевода в соответствии с </w:t>
      </w:r>
      <w:hyperlink w:history="0" w:anchor="P57" w:tooltip="При наличии замечаний к графикам перевода участники согласования должны направить такие замечания в письменной форме разработчикам графиков перевода, которыми принимаются меры к урегулированию возникших разногласий и согласованию графиков перевода в установленный абзацем вторым настоящего пункта срок, в том числе организуются и проводятся совещания по рассмотрению и разрешению представленных замечаний с участием представителей участников согласования, представляются участникам согласования письменные пре...">
        <w:r>
          <w:rPr>
            <w:sz w:val="24"/>
            <w:color w:val="0000ff"/>
          </w:rPr>
          <w:t xml:space="preserve">абзацем третьим</w:t>
        </w:r>
      </w:hyperlink>
      <w:r>
        <w:rPr>
          <w:sz w:val="24"/>
        </w:rPr>
        <w:t xml:space="preserve"> настоящего пункта, указанные графики перевода считаются согласованными.</w:t>
      </w:r>
    </w:p>
    <w:p>
      <w:pPr>
        <w:pStyle w:val="0"/>
        <w:spacing w:before="240" w:lineRule="auto"/>
        <w:ind w:firstLine="540"/>
        <w:jc w:val="both"/>
      </w:pPr>
      <w:r>
        <w:rPr>
          <w:sz w:val="24"/>
        </w:rPr>
        <w:t xml:space="preserve">5. По итогам процедуры, предусмотренной </w:t>
      </w:r>
      <w:hyperlink w:history="0" w:anchor="P55" w:tooltip="4. Разработанные графики перевода направляются в срок до 20 июля текущего года на согласование газотранспортным организациям и газораспределительным организациям, осуществляющим транспортировку газа на территории субъекта Российской Федерации, в отношении которого разрабатываются такие графики перевода (далее - участники согласования).">
        <w:r>
          <w:rPr>
            <w:sz w:val="24"/>
            <w:color w:val="0000ff"/>
          </w:rPr>
          <w:t xml:space="preserve">пунктом 4</w:t>
        </w:r>
      </w:hyperlink>
      <w:r>
        <w:rPr>
          <w:sz w:val="24"/>
        </w:rPr>
        <w:t xml:space="preserve"> настоящего Порядка, согласованные участниками согласования графики перевода, а также несогласованные графики перевода с замечаниями к ним, которые не были урегулированы в соответствии с </w:t>
      </w:r>
      <w:hyperlink w:history="0" w:anchor="P57" w:tooltip="При наличии замечаний к графикам перевода участники согласования должны направить такие замечания в письменной форме разработчикам графиков перевода, которыми принимаются меры к урегулированию возникших разногласий и согласованию графиков перевода в установленный абзацем вторым настоящего пункта срок, в том числе организуются и проводятся совещания по рассмотрению и разрешению представленных замечаний с участием представителей участников согласования, представляются участникам согласования письменные пре...">
        <w:r>
          <w:rPr>
            <w:sz w:val="24"/>
            <w:color w:val="0000ff"/>
          </w:rPr>
          <w:t xml:space="preserve">абзацем третьим пункта 4</w:t>
        </w:r>
      </w:hyperlink>
      <w:r>
        <w:rPr>
          <w:sz w:val="24"/>
        </w:rPr>
        <w:t xml:space="preserve"> настоящего Порядка, не позднее 1 сентября текущего года представляются разработчиками графиков перевода исполнительному органу субъекта Российской Федерации, ответственному за развитие газификации территории указанного субъекта Российской Федерации (далее - уполномоченный орган).</w:t>
      </w:r>
    </w:p>
    <w:p>
      <w:pPr>
        <w:pStyle w:val="0"/>
        <w:spacing w:before="240" w:lineRule="auto"/>
        <w:ind w:firstLine="540"/>
        <w:jc w:val="both"/>
      </w:pPr>
      <w:r>
        <w:rPr>
          <w:sz w:val="24"/>
        </w:rPr>
        <w:t xml:space="preserve">Уполномоченный орган не позднее десяти календарных дней со дня поступления согласованных графиков перевода должен утвердить указанные графики перевода либо принять меры к урегулированию возникших разногласий по несогласованным графикам перевода, в том числе организовать и провести совещания с участием представителей разработчиков графиков перевода и участников согласования, а также организаций, указанных в </w:t>
      </w:r>
      <w:hyperlink w:history="0" w:anchor="P48" w:tooltip="2. Графики перевода разрабатываются в субъекте Российской Федерации поставщиками природного газа, осуществляющими его поставки на территории такого субъекта Российской Федерации по трубопроводам организациям - потребителям газа, которые в соответствии с правилами пользования газом и предоставления услуг по газоснабжению, утверждаемыми Правительством Российской Федерации в соответствии с абзацем третьим части второй статьи 8 Федерального закона от 31 марта 1999 г. N 69-ФЗ &quot;О газоснабжении в Российской Фед...">
        <w:r>
          <w:rPr>
            <w:sz w:val="24"/>
            <w:color w:val="0000ff"/>
          </w:rPr>
          <w:t xml:space="preserve">абзаце первом пункта 2</w:t>
        </w:r>
      </w:hyperlink>
      <w:r>
        <w:rPr>
          <w:sz w:val="24"/>
        </w:rPr>
        <w:t xml:space="preserve"> настоящего Порядка, по итогам которых должен утвердить графики перевода.</w:t>
      </w:r>
    </w:p>
    <w:p>
      <w:pPr>
        <w:pStyle w:val="0"/>
        <w:spacing w:before="240" w:lineRule="auto"/>
        <w:ind w:firstLine="540"/>
        <w:jc w:val="both"/>
      </w:pPr>
      <w:r>
        <w:rPr>
          <w:sz w:val="24"/>
        </w:rPr>
        <w:t xml:space="preserve">Утвержденные графики перевода направляются уполномоченным органом организации - собственнику ЕСГ, организациям - собственникам РСГ (в случае если на территории субъекта Российской Федерации функционирует РСГ), разработчикам графиков перевода и участникам согласования, а также организациям - потребителям газа, указанным в </w:t>
      </w:r>
      <w:hyperlink w:history="0" w:anchor="P48" w:tooltip="2. Графики перевода разрабатываются в субъекте Российской Федерации поставщиками природного газа, осуществляющими его поставки на территории такого субъекта Российской Федерации по трубопроводам организациям - потребителям газа, которые в соответствии с правилами пользования газом и предоставления услуг по газоснабжению, утверждаемыми Правительством Российской Федерации в соответствии с абзацем третьим части второй статьи 8 Федерального закона от 31 марта 1999 г. N 69-ФЗ &quot;О газоснабжении в Российской Фед...">
        <w:r>
          <w:rPr>
            <w:sz w:val="24"/>
            <w:color w:val="0000ff"/>
          </w:rPr>
          <w:t xml:space="preserve">абзаце первом пункта 2</w:t>
        </w:r>
      </w:hyperlink>
      <w:r>
        <w:rPr>
          <w:sz w:val="24"/>
        </w:rPr>
        <w:t xml:space="preserve"> настоящего Порядка, не позднее чем через пять рабочих дней со дня их утверждения.</w:t>
      </w:r>
    </w:p>
    <w:p>
      <w:pPr>
        <w:pStyle w:val="0"/>
        <w:spacing w:before="240" w:lineRule="auto"/>
        <w:ind w:firstLine="540"/>
        <w:jc w:val="both"/>
      </w:pPr>
      <w:r>
        <w:rPr>
          <w:sz w:val="24"/>
        </w:rPr>
        <w:t xml:space="preserve">6. Графики перевода вводятся в действие при отборах газа из газотранспортной системы, которые могут повлечь нарушение технологического режима работы газотранспортной системы, структурным подразделением организации - собственника ЕСГ, осуществляющим оперативно-диспетчерское управление режимами работы ЕСГ, структурными подразделениями организаций - собственников РСГ, осуществляющими оперативно-диспетчерское управление режимами работы РСГ (в случае если на территории субъекта Российской Федерации функционирует РСГ), в целях обеспечения поставок газа коммунально-бытовым потребителям и населению, потребителям, для которых установлена броня газопотребления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dor:id="rId15" w:tooltip="Постановление Правительства РФ от 01.11.2021 N 1901 (ред. от 30.08.2025) &quot;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quot;  {КонсультантПлюс}">
        <w:r>
          <w:rPr>
            <w:sz w:val="24"/>
            <w:color w:val="0000ff"/>
          </w:rPr>
          <w:t xml:space="preserve">Абзац второй пункта 3</w:t>
        </w:r>
      </w:hyperlink>
      <w:r>
        <w:rPr>
          <w:sz w:val="24"/>
        </w:rPr>
        <w:t xml:space="preserve"> Правил поставки газа в Российской Федерации, утвержденных постановлением Правительства Российской Федерации от 1 ноября 2021 г. N 1901. В соответствии с </w:t>
      </w:r>
      <w:hyperlink w:history="0" dor:id="rId16" w:tooltip="Постановление Правительства РФ от 01.11.2021 N 1901 (ред. от 30.08.2025) &quot;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quot;  {КонсультантПлюс}">
        <w:r>
          <w:rPr>
            <w:sz w:val="24"/>
            <w:color w:val="0000ff"/>
          </w:rPr>
          <w:t xml:space="preserve">пунктом 5</w:t>
        </w:r>
      </w:hyperlink>
      <w:r>
        <w:rPr>
          <w:sz w:val="24"/>
        </w:rPr>
        <w:t xml:space="preserve"> постановления Правительства Российской Федерации от 1 ноября 2021 г. N 1901 данный акт действует до 1 сентября 2031 г.</w:t>
      </w:r>
    </w:p>
    <w:p>
      <w:pPr>
        <w:pStyle w:val="0"/>
        <w:jc w:val="both"/>
      </w:pPr>
      <w:r>
        <w:rPr>
          <w:sz w:val="24"/>
        </w:rPr>
      </w:r>
    </w:p>
    <w:p>
      <w:pPr>
        <w:pStyle w:val="0"/>
        <w:ind w:firstLine="540"/>
        <w:jc w:val="both"/>
      </w:pPr>
      <w:r>
        <w:rPr>
          <w:sz w:val="24"/>
        </w:rPr>
        <w:t xml:space="preserve">7. О планируемом введении в действие графиков перевода структурные подразделения организаций - собственников ЕСГ, РСГ не позднее чем за 24 часа до введения в действие графиков перевода должны уведомить уполномоченный орган, Министерство энергетики Российской Федерации, разработчиков графиков перевода и участников согласования, а также организации - потребители газа, указанные в </w:t>
      </w:r>
      <w:hyperlink w:history="0" w:anchor="P48" w:tooltip="2. Графики перевода разрабатываются в субъекте Российской Федерации поставщиками природного газа, осуществляющими его поставки на территории такого субъекта Российской Федерации по трубопроводам организациям - потребителям газа, которые в соответствии с правилами пользования газом и предоставления услуг по газоснабжению, утверждаемыми Правительством Российской Федерации в соответствии с абзацем третьим части второй статьи 8 Федерального закона от 31 марта 1999 г. N 69-ФЗ &quot;О газоснабжении в Российской Фед...">
        <w:r>
          <w:rPr>
            <w:sz w:val="24"/>
            <w:color w:val="0000ff"/>
          </w:rPr>
          <w:t xml:space="preserve">абзаце первом пункта 2</w:t>
        </w:r>
      </w:hyperlink>
      <w:r>
        <w:rPr>
          <w:sz w:val="24"/>
        </w:rPr>
        <w:t xml:space="preserve"> настоящего Порядка.</w:t>
      </w:r>
    </w:p>
    <w:p>
      <w:pPr>
        <w:pStyle w:val="0"/>
        <w:spacing w:before="240" w:lineRule="auto"/>
        <w:ind w:firstLine="540"/>
        <w:jc w:val="both"/>
      </w:pPr>
      <w:r>
        <w:rPr>
          <w:sz w:val="24"/>
        </w:rPr>
        <w:t xml:space="preserve">8. Уведомление о планируемом введении в действие графика перевода должно содержать указание об объеме высвобождения газа в процентах от максимального объема высвобождения газа, предусмотренного графиком перевода.</w:t>
      </w:r>
    </w:p>
    <w:p>
      <w:pPr>
        <w:pStyle w:val="0"/>
        <w:spacing w:before="240" w:lineRule="auto"/>
        <w:ind w:firstLine="540"/>
        <w:jc w:val="both"/>
      </w:pPr>
      <w:r>
        <w:rPr>
          <w:sz w:val="24"/>
        </w:rPr>
        <w:t xml:space="preserve">9. Уведомление о планируемом введении в действие графика перевода направляется с использованием любых средств связи, позволяющих установить, кем направлено уведомление и кому оно адресовано, а также подтверждающих факт его вручения адресату.</w:t>
      </w:r>
    </w:p>
    <w:p>
      <w:pPr>
        <w:pStyle w:val="0"/>
        <w:spacing w:before="240" w:lineRule="auto"/>
        <w:ind w:firstLine="540"/>
        <w:jc w:val="both"/>
      </w:pPr>
      <w:r>
        <w:rPr>
          <w:sz w:val="24"/>
        </w:rPr>
        <w:t xml:space="preserve">10. Обеспечение поставок газа при введении в действие графиков перевода может осуществляться за счет перевода потребителей на альтернативные виды топлива (аварийные или резервные), а также за счет снижения или прекращения потребления газа в соответствии с </w:t>
      </w:r>
      <w:hyperlink w:history="0" w:anchor="P70" w:tooltip="Организации - потребители газа, включенные в графики перевода, при введении в действие графиков перевода должны снизить суточный расход газа до величины, соответствующей разнице между установленной графиком перевода среднесуточной нормой поставки газа и определенным в соответствии с уведомлением о планируемом введении в действие графика перевода объемом высвобождения газа, либо прекратить потребление газа и перейти на использование альтернативных видов топлива (аварийных или резервных).">
        <w:r>
          <w:rPr>
            <w:sz w:val="24"/>
            <w:color w:val="0000ff"/>
          </w:rPr>
          <w:t xml:space="preserve">абзацем вторым</w:t>
        </w:r>
      </w:hyperlink>
      <w:r>
        <w:rPr>
          <w:sz w:val="24"/>
        </w:rPr>
        <w:t xml:space="preserve"> настоящего пункта.</w:t>
      </w:r>
    </w:p>
    <w:bookmarkStart w:id="70" w:name="P70"/>
    <w:bookmarkEnd w:id="70"/>
    <w:p>
      <w:pPr>
        <w:pStyle w:val="0"/>
        <w:spacing w:before="240" w:lineRule="auto"/>
        <w:ind w:firstLine="540"/>
        <w:jc w:val="both"/>
      </w:pPr>
      <w:r>
        <w:rPr>
          <w:sz w:val="24"/>
        </w:rPr>
        <w:t xml:space="preserve">Организации - потребители газа, включенные в графики перевода, при введении в действие графиков перевода должны снизить суточный расход газа до величины, соответствующей разнице между установленной графиком перевода среднесуточной нормой поставки газа и определенным в соответствии с уведомлением о планируемом введении в действие графика перевода объемом высвобождения газа, либо прекратить потребление газа и перейти на использование альтернативных видов топлива (аварийных или резервных).</w:t>
      </w:r>
    </w:p>
    <w:p>
      <w:pPr>
        <w:pStyle w:val="0"/>
        <w:spacing w:before="240" w:lineRule="auto"/>
        <w:ind w:firstLine="540"/>
        <w:jc w:val="both"/>
      </w:pPr>
      <w:r>
        <w:rPr>
          <w:sz w:val="24"/>
        </w:rPr>
        <w:t xml:space="preserve">В случае невыполнения организацией - потребителем газа, включенной в график перевода, требований </w:t>
      </w:r>
      <w:hyperlink w:history="0" w:anchor="P70" w:tooltip="Организации - потребители газа, включенные в графики перевода, при введении в действие графиков перевода должны снизить суточный расход газа до величины, соответствующей разнице между установленной графиком перевода среднесуточной нормой поставки газа и определенным в соответствии с уведомлением о планируемом введении в действие графика перевода объемом высвобождения газа, либо прекратить потребление газа и перейти на использование альтернативных видов топлива (аварийных или резервных).">
        <w:r>
          <w:rPr>
            <w:sz w:val="24"/>
            <w:color w:val="0000ff"/>
          </w:rPr>
          <w:t xml:space="preserve">абзаца второго</w:t>
        </w:r>
      </w:hyperlink>
      <w:r>
        <w:rPr>
          <w:sz w:val="24"/>
        </w:rPr>
        <w:t xml:space="preserve"> настоящего пункта поставщиками газа, осуществляющими его поставки на территории субъекта Российской Федерации, газотранспортной или газораспределительной организацией, осуществляющими транспортировку газа на территории субъекта Российской Федерации, проводится принудительное ограничение поставки газа до указанной в </w:t>
      </w:r>
      <w:hyperlink w:history="0" w:anchor="P70" w:tooltip="Организации - потребители газа, включенные в графики перевода, при введении в действие графиков перевода должны снизить суточный расход газа до величины, соответствующей разнице между установленной графиком перевода среднесуточной нормой поставки газа и определенным в соответствии с уведомлением о планируемом введении в действие графика перевода объемом высвобождения газа, либо прекратить потребление газа и перейти на использование альтернативных видов топлива (аварийных или резервных).">
        <w:r>
          <w:rPr>
            <w:sz w:val="24"/>
            <w:color w:val="0000ff"/>
          </w:rPr>
          <w:t xml:space="preserve">абзаце втором</w:t>
        </w:r>
      </w:hyperlink>
      <w:r>
        <w:rPr>
          <w:sz w:val="24"/>
        </w:rPr>
        <w:t xml:space="preserve"> настоящего пункта величины по истечении 24 часов с момента предупреждения об этом организации - потребителя газа, включенной в график перевода, и уполномоченного органа, которое направляется с использованием любых средств связи, позволяющих установить, кем направлено предупреждение и кому оно адресовано, а также подтверждающих факт его получения адресатом. Газотранспортной или газораспределительной организациями, осуществляющими транспортировку газа на территории субъекта Российской Федерации, в присутствии представителя уполномоченного органа и организации - потребителя газа, включенной в график перевода, производятся необходимые оперативные переключения в газоиспользующих установках, принадлежащих организации - потребителю газа, включенной в график перевода, если ограничение поставки газа до величины, соответствующей разнице между установленными графиком перевода среднесуточной нормой поставки газа и объемом высвобождения газа, не может быть проведено иным способом.</w:t>
      </w:r>
    </w:p>
    <w:bookmarkStart w:id="72" w:name="P72"/>
    <w:bookmarkEnd w:id="72"/>
    <w:p>
      <w:pPr>
        <w:pStyle w:val="0"/>
        <w:spacing w:before="240" w:lineRule="auto"/>
        <w:ind w:firstLine="540"/>
        <w:jc w:val="both"/>
      </w:pPr>
      <w:r>
        <w:rPr>
          <w:sz w:val="24"/>
        </w:rPr>
        <w:t xml:space="preserve">11. Графики ограничения подачи газа разрабатываются ежеквартально в субъекте Российской Федерации газораспределительными организациями, осуществляющими транспортировку газа на территории указанного субъекта Российской Федерации (далее - разработчики графиков ограничения подачи газа), по рекомендуемому образцу согласно </w:t>
      </w:r>
      <w:hyperlink w:history="0" w:anchor="P204" w:tooltip="ГРАФИК">
        <w:r>
          <w:rPr>
            <w:sz w:val="24"/>
            <w:color w:val="0000ff"/>
          </w:rPr>
          <w:t xml:space="preserve">приложению N 2</w:t>
        </w:r>
      </w:hyperlink>
      <w:r>
        <w:rPr>
          <w:sz w:val="24"/>
        </w:rPr>
        <w:t xml:space="preserve"> к настоящему Порядку на основании сведений о необходимых объемах высвобождения газа по субъектам Российской Федерации, направляемых разработчикам графиков ограничения подачи газа организацией - собственником ЕСГ, организациями - собственниками РСГ (в случае если на территории субъекта Российской Федерации функционирует РСГ), не позднее двух месяцев до начала квартала.</w:t>
      </w:r>
    </w:p>
    <w:p>
      <w:pPr>
        <w:pStyle w:val="0"/>
        <w:spacing w:before="240" w:lineRule="auto"/>
        <w:ind w:firstLine="540"/>
        <w:jc w:val="both"/>
      </w:pPr>
      <w:r>
        <w:rPr>
          <w:sz w:val="24"/>
        </w:rPr>
        <w:t xml:space="preserve">В графики ограничения подачи газа включаются все организации - потребители газа, обязанные иметь РТХ.</w:t>
      </w:r>
    </w:p>
    <w:p>
      <w:pPr>
        <w:pStyle w:val="0"/>
        <w:spacing w:before="240" w:lineRule="auto"/>
        <w:ind w:firstLine="540"/>
        <w:jc w:val="both"/>
      </w:pPr>
      <w:r>
        <w:rPr>
          <w:sz w:val="24"/>
        </w:rPr>
        <w:t xml:space="preserve">При составлении графиков ограничения подачи газа организации - потребители газа, подлежащие включению в указанные графики, объединяются разработчиками графиков ограничения подачи газа в группы по газораспределительным станциям, от которых осуществляется их газоснабжение.</w:t>
      </w:r>
    </w:p>
    <w:bookmarkStart w:id="75" w:name="P75"/>
    <w:bookmarkEnd w:id="75"/>
    <w:p>
      <w:pPr>
        <w:pStyle w:val="0"/>
        <w:spacing w:before="240" w:lineRule="auto"/>
        <w:ind w:firstLine="540"/>
        <w:jc w:val="both"/>
      </w:pPr>
      <w:r>
        <w:rPr>
          <w:sz w:val="24"/>
        </w:rPr>
        <w:t xml:space="preserve">12. Разработанные в соответствии с </w:t>
      </w:r>
      <w:hyperlink w:history="0" w:anchor="P72" w:tooltip="11. Графики ограничения подачи газа разрабатываются ежеквартально в субъекте Российской Федерации газораспределительными организациями, осуществляющими транспортировку газа на территории указанного субъекта Российской Федерации (далее - разработчики графиков ограничения подачи газа), по рекомендуемому образцу согласно приложению N 2 к настоящему Порядку на основании сведений о необходимых объемах высвобождения газа по субъектам Российской Федерации, направляемых разработчикам графиков ограничения подачи ...">
        <w:r>
          <w:rPr>
            <w:sz w:val="24"/>
            <w:color w:val="0000ff"/>
          </w:rPr>
          <w:t xml:space="preserve">пунктом 11</w:t>
        </w:r>
      </w:hyperlink>
      <w:r>
        <w:rPr>
          <w:sz w:val="24"/>
        </w:rPr>
        <w:t xml:space="preserve"> настоящего Порядка графики ограничения подачи газа представляются газораспределительными организациями, осуществляющими транспортировку газа на территории субъекта Российской Федерации, уполномоченному органу для утверждения не позднее чем за один месяц до начала квартала.</w:t>
      </w:r>
    </w:p>
    <w:p>
      <w:pPr>
        <w:pStyle w:val="0"/>
        <w:spacing w:before="240" w:lineRule="auto"/>
        <w:ind w:firstLine="540"/>
        <w:jc w:val="both"/>
      </w:pPr>
      <w:r>
        <w:rPr>
          <w:sz w:val="24"/>
        </w:rPr>
        <w:t xml:space="preserve">Указанные в </w:t>
      </w:r>
      <w:hyperlink w:history="0" w:anchor="P75" w:tooltip="12. Разработанные в соответствии с пунктом 11 настоящего Порядка графики ограничения подачи газа представляются газораспределительными организациями, осуществляющими транспортировку газа на территории субъекта Российской Федерации, уполномоченному органу для утверждения не позднее чем за один месяц до начала квартала.">
        <w:r>
          <w:rPr>
            <w:sz w:val="24"/>
            <w:color w:val="0000ff"/>
          </w:rPr>
          <w:t xml:space="preserve">абзаце первом</w:t>
        </w:r>
      </w:hyperlink>
      <w:r>
        <w:rPr>
          <w:sz w:val="24"/>
        </w:rPr>
        <w:t xml:space="preserve"> настоящего пункта графики утверждаются уполномоченным органом не позднее чем через 10 календарных дней со дня их поступления в уполномоченный орган.</w:t>
      </w:r>
    </w:p>
    <w:p>
      <w:pPr>
        <w:pStyle w:val="0"/>
        <w:spacing w:before="240" w:lineRule="auto"/>
        <w:ind w:firstLine="540"/>
        <w:jc w:val="both"/>
      </w:pPr>
      <w:r>
        <w:rPr>
          <w:sz w:val="24"/>
        </w:rPr>
        <w:t xml:space="preserve">При наличии у уполномоченного органа замечаний к графикам ограничения подачи газа, представленным для утверждения в соответствии с </w:t>
      </w:r>
      <w:hyperlink w:history="0" w:anchor="P75" w:tooltip="12. Разработанные в соответствии с пунктом 11 настоящего Порядка графики ограничения подачи газа представляются газораспределительными организациями, осуществляющими транспортировку газа на территории субъекта Российской Федерации, уполномоченному органу для утверждения не позднее чем за один месяц до начала квартала.">
        <w:r>
          <w:rPr>
            <w:sz w:val="24"/>
            <w:color w:val="0000ff"/>
          </w:rPr>
          <w:t xml:space="preserve">абзацем первым</w:t>
        </w:r>
      </w:hyperlink>
      <w:r>
        <w:rPr>
          <w:sz w:val="24"/>
        </w:rPr>
        <w:t xml:space="preserve"> настоящего пункта, уполномоченным органом принимаются меры к урегулированию возникших разногласий с разработчиками графиков ограничения подачи газа, в том числе организуются и проводятся совещания с участием их представителей, по итогам которых уполномоченный орган должен утвердить графики ограничения подачи газа.</w:t>
      </w:r>
    </w:p>
    <w:p>
      <w:pPr>
        <w:pStyle w:val="0"/>
        <w:spacing w:before="240" w:lineRule="auto"/>
        <w:ind w:firstLine="540"/>
        <w:jc w:val="both"/>
      </w:pPr>
      <w:r>
        <w:rPr>
          <w:sz w:val="24"/>
        </w:rPr>
        <w:t xml:space="preserve">13. Графики ограничения подачи газа вводятся в действие в случае аварийных ситуаций и связанных с указанными ситуациями нарушений технологического режима работы газотранспортной системы в соответствии с настоящим Порядком.</w:t>
      </w:r>
    </w:p>
    <w:bookmarkStart w:id="79" w:name="P79"/>
    <w:bookmarkEnd w:id="79"/>
    <w:p>
      <w:pPr>
        <w:pStyle w:val="0"/>
        <w:spacing w:before="240" w:lineRule="auto"/>
        <w:ind w:firstLine="540"/>
        <w:jc w:val="both"/>
      </w:pPr>
      <w:r>
        <w:rPr>
          <w:sz w:val="24"/>
        </w:rPr>
        <w:t xml:space="preserve">14. При введении в действие графиков ограничения подачи газа производится полное или частичное ограничение подачи (поставки) газа, но не ниже величины, соответствующей разнице между установленными графиком ограничения подачи газа среднесуточной нормой поставки газа и объемом высвобождения газа при аварийной ситуации (при наличии брони газопотребления - не ниже значения бронируемого объема газопотребления), включенным в указанные графики организациям. Ограничение подачи (поставки) газа организациям - потребителям газа производится пропорционально максимальным объемам высвобождения газа при аварийной ситуации, установленным для них графиком ограничения подачи газа.</w:t>
      </w:r>
    </w:p>
    <w:p>
      <w:pPr>
        <w:pStyle w:val="0"/>
        <w:spacing w:before="240" w:lineRule="auto"/>
        <w:ind w:firstLine="540"/>
        <w:jc w:val="both"/>
      </w:pPr>
      <w:r>
        <w:rPr>
          <w:sz w:val="24"/>
        </w:rPr>
        <w:t xml:space="preserve">15. Введение в действие графиков ограничения подачи газа и полное или частичное ограничение подачи (поставки) газа в соответствии с </w:t>
      </w:r>
      <w:hyperlink w:history="0" w:anchor="P79" w:tooltip="14. При введении в действие графиков ограничения подачи газа производится полное или частичное ограничение подачи (поставки) газа, но не ниже величины, соответствующей разнице между установленными графиком ограничения подачи газа среднесуточной нормой поставки газа и объемом высвобождения газа при аварийной ситуации (при наличии брони газопотребления - не ниже значения бронируемого объема газопотребления), включенным в указанные графики организациям. Ограничение подачи (поставки) газа организациям - потр...">
        <w:r>
          <w:rPr>
            <w:sz w:val="24"/>
            <w:color w:val="0000ff"/>
          </w:rPr>
          <w:t xml:space="preserve">пунктом 14</w:t>
        </w:r>
      </w:hyperlink>
      <w:r>
        <w:rPr>
          <w:sz w:val="24"/>
        </w:rPr>
        <w:t xml:space="preserve"> настоящего Порядка осуществляются разработчиками графиков ограничения подачи газа в соответствии с указаниями структурного подразделения организации - собственника ЕСГ, осуществляющего оперативно-диспетчерское управление режимами работы ЕСГ, структурных подразделений организаций - собственников РСГ, осуществляющих оперативно-диспетчерское управление режимами работы РСГ (в случае если на территории субъекта Российской Федерации функционирует РСГ).</w:t>
      </w:r>
    </w:p>
    <w:bookmarkStart w:id="81" w:name="P81"/>
    <w:bookmarkEnd w:id="81"/>
    <w:p>
      <w:pPr>
        <w:pStyle w:val="0"/>
        <w:spacing w:before="240" w:lineRule="auto"/>
        <w:ind w:firstLine="540"/>
        <w:jc w:val="both"/>
      </w:pPr>
      <w:r>
        <w:rPr>
          <w:sz w:val="24"/>
        </w:rPr>
        <w:t xml:space="preserve">16. Указания структурного подразделения организации - собственника ЕСГ, осуществляющего оперативно-диспетчерское управление режимами работы ЕСГ, структурных подразделений организаций - собственников РСГ, осуществляющих оперативно-диспетчерское управление режимами работы РСГ, о введении в действие графиков ограничения подачи газа должны содержать информацию об объеме высвобождения газа в процентах от максимального объема высвобождения газа при аварийной ситуации, установленного графиком ограничения подачи газа.</w:t>
      </w:r>
    </w:p>
    <w:bookmarkStart w:id="82" w:name="P82"/>
    <w:bookmarkEnd w:id="82"/>
    <w:p>
      <w:pPr>
        <w:pStyle w:val="0"/>
        <w:spacing w:before="240" w:lineRule="auto"/>
        <w:ind w:firstLine="540"/>
        <w:jc w:val="both"/>
      </w:pPr>
      <w:r>
        <w:rPr>
          <w:sz w:val="24"/>
        </w:rPr>
        <w:t xml:space="preserve">Указания структурного подразделения организации - собственника ЕСГ, осуществляющего оперативно-диспетчерское управление режимами работы ЕСГ, структурных подразделений организаций - собственников РСГ, осуществляющих оперативно-диспетчерское управление режимами работы РСГ (в случае если на территории субъекта Российской Федерации функционирует РСГ), о введении в действие графиков ограничения подачи газа направляются с использованием любых средств связи, позволяющих установить, кем направлены указания и кому они адресованы, а также подтверждающих факт их получения адресатом.</w:t>
      </w:r>
    </w:p>
    <w:p>
      <w:pPr>
        <w:pStyle w:val="0"/>
        <w:spacing w:before="240" w:lineRule="auto"/>
        <w:ind w:firstLine="540"/>
        <w:jc w:val="both"/>
      </w:pPr>
      <w:r>
        <w:rPr>
          <w:sz w:val="24"/>
        </w:rPr>
        <w:t xml:space="preserve">Указания, предусмотренные </w:t>
      </w:r>
      <w:hyperlink w:history="0" w:anchor="P81" w:tooltip="16. Указания структурного подразделения организации - собственника ЕСГ, осуществляющего оперативно-диспетчерское управление режимами работы ЕСГ, структурных подразделений организаций - собственников РСГ, осуществляющих оперативно-диспетчерское управление режимами работы РСГ, о введении в действие графиков ограничения подачи газа должны содержать информацию об объеме высвобождения газа в процентах от максимального объема высвобождения газа при аварийной ситуации, установленного графиком ограничения подачи...">
        <w:r>
          <w:rPr>
            <w:sz w:val="24"/>
            <w:color w:val="0000ff"/>
          </w:rPr>
          <w:t xml:space="preserve">абзацами первым</w:t>
        </w:r>
      </w:hyperlink>
      <w:r>
        <w:rPr>
          <w:sz w:val="24"/>
        </w:rPr>
        <w:t xml:space="preserve">, </w:t>
      </w:r>
      <w:hyperlink w:history="0" w:anchor="P82" w:tooltip="Указания структурного подразделения организации - собственника ЕСГ, осуществляющего оперативно-диспетчерское управление режимами работы ЕСГ, структурных подразделений организаций - собственников РСГ, осуществляющих оперативно-диспетчерское управление режимами работы РСГ (в случае если на территории субъекта Российской Федерации функционирует РСГ), о введении в действие графиков ограничения подачи газа направляются с использованием любых средств связи, позволяющих установить, кем направлены указания и ком...">
        <w:r>
          <w:rPr>
            <w:sz w:val="24"/>
            <w:color w:val="0000ff"/>
          </w:rPr>
          <w:t xml:space="preserve">вторым</w:t>
        </w:r>
      </w:hyperlink>
      <w:r>
        <w:rPr>
          <w:sz w:val="24"/>
        </w:rPr>
        <w:t xml:space="preserve"> настоящего пункта, являются обязательными для поставщиков газа, газотранспортных и газораспределительных организаций и организаций - потребителей газа, которые включены в график ограничения подачи газа.</w:t>
      </w:r>
    </w:p>
    <w:p>
      <w:pPr>
        <w:pStyle w:val="0"/>
        <w:spacing w:before="240" w:lineRule="auto"/>
        <w:ind w:firstLine="540"/>
        <w:jc w:val="both"/>
      </w:pPr>
      <w:r>
        <w:rPr>
          <w:sz w:val="24"/>
        </w:rPr>
        <w:t xml:space="preserve">17. О введении в действие графиков ограничения подачи газа разработчиками графиков ограничения подачи газа незамедлительно уведомляются уполномоченный орган, Министерство энергетики Российской Федерации, а также следующие лица:</w:t>
      </w:r>
    </w:p>
    <w:p>
      <w:pPr>
        <w:pStyle w:val="0"/>
        <w:spacing w:before="240" w:lineRule="auto"/>
        <w:ind w:firstLine="540"/>
        <w:jc w:val="both"/>
      </w:pPr>
      <w:r>
        <w:rPr>
          <w:sz w:val="24"/>
        </w:rPr>
        <w:t xml:space="preserve">поставщики газа, которыми осуществляются поставки газа в субъекте Российской Федерации;</w:t>
      </w:r>
    </w:p>
    <w:p>
      <w:pPr>
        <w:pStyle w:val="0"/>
        <w:spacing w:before="240" w:lineRule="auto"/>
        <w:ind w:firstLine="540"/>
        <w:jc w:val="both"/>
      </w:pPr>
      <w:r>
        <w:rPr>
          <w:sz w:val="24"/>
        </w:rPr>
        <w:t xml:space="preserve">организации, в отношении которых введены в действие указанные графики;</w:t>
      </w:r>
    </w:p>
    <w:p>
      <w:pPr>
        <w:pStyle w:val="0"/>
        <w:spacing w:before="240" w:lineRule="auto"/>
        <w:ind w:firstLine="540"/>
        <w:jc w:val="both"/>
      </w:pPr>
      <w:r>
        <w:rPr>
          <w:sz w:val="24"/>
        </w:rPr>
        <w:t xml:space="preserve">структурное подразделение организации - собственника ЕСГ, осуществляющее оперативно-диспетчерское управление режимами работы ЕСГ, структурные подразделения организаций - собственников РСГ, осуществляющие оперативно-диспетчерское управление режимами работы РСГ (в случае если на территории субъекта Российской Федерации функционирует РСГ);</w:t>
      </w:r>
    </w:p>
    <w:p>
      <w:pPr>
        <w:pStyle w:val="0"/>
        <w:spacing w:before="240" w:lineRule="auto"/>
        <w:ind w:firstLine="540"/>
        <w:jc w:val="both"/>
      </w:pPr>
      <w:r>
        <w:rPr>
          <w:sz w:val="24"/>
        </w:rPr>
        <w:t xml:space="preserve">газотранспортные организации, осуществляющие транспортировку газа на территории субъекта Российской Федерации.</w:t>
      </w:r>
    </w:p>
    <w:p>
      <w:pPr>
        <w:pStyle w:val="0"/>
        <w:spacing w:before="240" w:lineRule="auto"/>
        <w:ind w:firstLine="540"/>
        <w:jc w:val="both"/>
      </w:pPr>
      <w:r>
        <w:rPr>
          <w:sz w:val="24"/>
        </w:rPr>
        <w:t xml:space="preserve">18. Уведомление о введении в действие графиков ограничения подачи газа направляется с использованием любых средств связи, позволяющих установить, кем направлено извещение и кому оно адресовано, а также подтверждающих факт его вручения адресату.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подготовки и введения</w:t>
      </w:r>
    </w:p>
    <w:p>
      <w:pPr>
        <w:pStyle w:val="0"/>
        <w:jc w:val="right"/>
      </w:pPr>
      <w:r>
        <w:rPr>
          <w:sz w:val="24"/>
        </w:rPr>
        <w:t xml:space="preserve">в действие графиков перевода</w:t>
      </w:r>
    </w:p>
    <w:p>
      <w:pPr>
        <w:pStyle w:val="0"/>
        <w:jc w:val="right"/>
      </w:pPr>
      <w:r>
        <w:rPr>
          <w:sz w:val="24"/>
        </w:rPr>
        <w:t xml:space="preserve">потребителей на альтернативные виды</w:t>
      </w:r>
    </w:p>
    <w:p>
      <w:pPr>
        <w:pStyle w:val="0"/>
        <w:jc w:val="right"/>
      </w:pPr>
      <w:r>
        <w:rPr>
          <w:sz w:val="24"/>
        </w:rPr>
        <w:t xml:space="preserve">топлива (аварийные или резервные)</w:t>
      </w:r>
    </w:p>
    <w:p>
      <w:pPr>
        <w:pStyle w:val="0"/>
        <w:jc w:val="right"/>
      </w:pPr>
      <w:r>
        <w:rPr>
          <w:sz w:val="24"/>
        </w:rPr>
        <w:t xml:space="preserve">и графиков частичного или полного</w:t>
      </w:r>
    </w:p>
    <w:p>
      <w:pPr>
        <w:pStyle w:val="0"/>
        <w:jc w:val="right"/>
      </w:pPr>
      <w:r>
        <w:rPr>
          <w:sz w:val="24"/>
        </w:rPr>
        <w:t xml:space="preserve">ограничения подачи газа потребителям</w:t>
      </w:r>
    </w:p>
    <w:p>
      <w:pPr>
        <w:pStyle w:val="0"/>
        <w:jc w:val="right"/>
      </w:pPr>
      <w:r>
        <w:rPr>
          <w:sz w:val="24"/>
        </w:rPr>
        <w:t xml:space="preserve">в случае нарушения технологического</w:t>
      </w:r>
    </w:p>
    <w:p>
      <w:pPr>
        <w:pStyle w:val="0"/>
        <w:jc w:val="right"/>
      </w:pPr>
      <w:r>
        <w:rPr>
          <w:sz w:val="24"/>
        </w:rPr>
        <w:t xml:space="preserve">режима работы газотранспортной</w:t>
      </w:r>
    </w:p>
    <w:p>
      <w:pPr>
        <w:pStyle w:val="0"/>
        <w:jc w:val="right"/>
      </w:pPr>
      <w:r>
        <w:rPr>
          <w:sz w:val="24"/>
        </w:rPr>
        <w:t xml:space="preserve">системы при аварии, утвержденному</w:t>
      </w:r>
    </w:p>
    <w:p>
      <w:pPr>
        <w:pStyle w:val="0"/>
        <w:jc w:val="right"/>
      </w:pPr>
      <w:r>
        <w:rPr>
          <w:sz w:val="24"/>
        </w:rPr>
        <w:t xml:space="preserve">приказом Минэнерго России</w:t>
      </w:r>
    </w:p>
    <w:p>
      <w:pPr>
        <w:pStyle w:val="0"/>
        <w:jc w:val="right"/>
      </w:pPr>
      <w:r>
        <w:rPr>
          <w:sz w:val="24"/>
        </w:rPr>
        <w:t xml:space="preserve">от 11 апреля 2025 г. N 424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9070"/>
        <w:gridCol w:w="4535"/>
      </w:tblGrid>
      <w:tr>
        <w:tc>
          <w:tcPr>
            <w:tcW w:w="9070"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УТВЕРЖДЕН</w:t>
            </w:r>
          </w:p>
        </w:tc>
      </w:tr>
      <w:tr>
        <w:tc>
          <w:tcPr>
            <w:tcW w:w="9070"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pPr>
            <w:r>
              <w:rPr>
                <w:sz w:val="24"/>
              </w:rPr>
            </w:r>
          </w:p>
        </w:tc>
      </w:tr>
      <w:tr>
        <w:tc>
          <w:tcPr>
            <w:tcW w:w="9070"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(исполнительный орган субъекта Российской Федерации)</w:t>
            </w:r>
          </w:p>
        </w:tc>
      </w:tr>
      <w:tr>
        <w:tc>
          <w:tcPr>
            <w:tcW w:w="9070"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N _________ от 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119" w:name="P119"/>
          <w:bookmarkEnd w:id="119"/>
          <w:p>
            <w:pPr>
              <w:pStyle w:val="0"/>
              <w:jc w:val="center"/>
            </w:pPr>
            <w:r>
              <w:rPr>
                <w:sz w:val="24"/>
              </w:rPr>
              <w:t xml:space="preserve">ГРАФИК</w:t>
            </w:r>
          </w:p>
          <w:p>
            <w:pPr>
              <w:pStyle w:val="0"/>
              <w:jc w:val="center"/>
            </w:pPr>
            <w:r>
              <w:rPr>
                <w:sz w:val="24"/>
              </w:rPr>
              <w:t xml:space="preserve">перевода потребителей</w:t>
            </w:r>
          </w:p>
          <w:p>
            <w:pPr>
              <w:pStyle w:val="0"/>
              <w:jc w:val="center"/>
            </w:pPr>
            <w:r>
              <w:rPr>
                <w:sz w:val="24"/>
              </w:rPr>
              <w:t xml:space="preserve">______________________________________________</w:t>
            </w:r>
          </w:p>
          <w:p>
            <w:pPr>
              <w:pStyle w:val="0"/>
              <w:jc w:val="center"/>
            </w:pPr>
            <w:r>
              <w:rPr>
                <w:sz w:val="24"/>
              </w:rPr>
              <w:t xml:space="preserve">(наименование субъекта Российской Федерации)</w:t>
            </w:r>
          </w:p>
          <w:p>
            <w:pPr>
              <w:pStyle w:val="0"/>
              <w:jc w:val="center"/>
            </w:pPr>
            <w:r>
              <w:rPr>
                <w:sz w:val="24"/>
              </w:rPr>
              <w:t xml:space="preserve">на альтернативные виды топлива (резервные или аварийные)</w:t>
            </w:r>
          </w:p>
          <w:p>
            <w:pPr>
              <w:pStyle w:val="0"/>
              <w:jc w:val="center"/>
            </w:pPr>
            <w:r>
              <w:rPr>
                <w:sz w:val="24"/>
              </w:rPr>
              <w:t xml:space="preserve">на ___ квартал ____ года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077"/>
        <w:gridCol w:w="989"/>
        <w:gridCol w:w="1134"/>
        <w:gridCol w:w="1134"/>
        <w:gridCol w:w="1134"/>
        <w:gridCol w:w="955"/>
        <w:gridCol w:w="1077"/>
        <w:gridCol w:w="1304"/>
        <w:gridCol w:w="1077"/>
        <w:gridCol w:w="3175"/>
      </w:tblGrid>
      <w:tr>
        <w:tc>
          <w:tcPr>
            <w:tcW w:w="566" w:type="dxa"/>
          </w:tcPr>
          <w:p>
            <w:pPr>
              <w:pStyle w:val="0"/>
              <w:jc w:val="center"/>
            </w:pPr>
            <w:r>
              <w:rPr>
                <w:sz w:val="24"/>
              </w:rPr>
              <w:t xml:space="preserve">N п/п</w:t>
            </w:r>
          </w:p>
        </w:tc>
        <w:tc>
          <w:tcPr>
            <w:tcW w:w="1077" w:type="dxa"/>
          </w:tcPr>
          <w:p>
            <w:pPr>
              <w:pStyle w:val="0"/>
              <w:jc w:val="center"/>
            </w:pPr>
            <w:r>
              <w:rPr>
                <w:sz w:val="24"/>
              </w:rPr>
              <w:t xml:space="preserve">Наименование и местонахождение организации - потребителя газа</w:t>
            </w:r>
          </w:p>
        </w:tc>
        <w:tc>
          <w:tcPr>
            <w:tcW w:w="989" w:type="dxa"/>
          </w:tcPr>
          <w:p>
            <w:pPr>
              <w:pStyle w:val="0"/>
              <w:jc w:val="center"/>
            </w:pPr>
            <w:r>
              <w:rPr>
                <w:sz w:val="24"/>
              </w:rPr>
              <w:t xml:space="preserve">Наименование и местонахождение точки подключения</w:t>
            </w:r>
          </w:p>
        </w:tc>
        <w:tc>
          <w:tcPr>
            <w:tcW w:w="1134" w:type="dxa"/>
          </w:tcPr>
          <w:p>
            <w:pPr>
              <w:pStyle w:val="0"/>
              <w:jc w:val="center"/>
            </w:pPr>
            <w:r>
              <w:rPr>
                <w:sz w:val="24"/>
              </w:rPr>
              <w:t xml:space="preserve">Среднесуточная норма поставки газа, тысяч метров кубических в сутки</w:t>
            </w:r>
          </w:p>
        </w:tc>
        <w:tc>
          <w:tcPr>
            <w:tcW w:w="1134" w:type="dxa"/>
          </w:tcPr>
          <w:p>
            <w:pPr>
              <w:pStyle w:val="0"/>
              <w:jc w:val="center"/>
            </w:pPr>
            <w:r>
              <w:rPr>
                <w:sz w:val="24"/>
              </w:rPr>
              <w:t xml:space="preserve">Максимальный объем высвобождения газа, тысяч метров кубических в сутки</w:t>
            </w:r>
          </w:p>
        </w:tc>
        <w:tc>
          <w:tcPr>
            <w:tcW w:w="1134" w:type="dxa"/>
          </w:tcPr>
          <w:p>
            <w:pPr>
              <w:pStyle w:val="0"/>
              <w:jc w:val="center"/>
            </w:pPr>
            <w:r>
              <w:rPr>
                <w:sz w:val="24"/>
              </w:rPr>
              <w:t xml:space="preserve">Бронируемый объем газопотребления (при наличии брони газопотребления)</w:t>
            </w:r>
          </w:p>
        </w:tc>
        <w:tc>
          <w:tcPr>
            <w:tcW w:w="955" w:type="dxa"/>
          </w:tcPr>
          <w:p>
            <w:pPr>
              <w:pStyle w:val="0"/>
              <w:jc w:val="center"/>
            </w:pPr>
            <w:r>
              <w:rPr>
                <w:sz w:val="24"/>
              </w:rPr>
              <w:t xml:space="preserve">Альтернативный (резервный или аварийный) вид топлива</w:t>
            </w:r>
          </w:p>
        </w:tc>
        <w:tc>
          <w:tcPr>
            <w:tcW w:w="1077" w:type="dxa"/>
          </w:tcPr>
          <w:p>
            <w:pPr>
              <w:pStyle w:val="0"/>
              <w:jc w:val="center"/>
            </w:pPr>
            <w:r>
              <w:rPr>
                <w:sz w:val="24"/>
              </w:rPr>
              <w:t xml:space="preserve">Запас альтернативного (резервного или аварийного) вида топлива, тонн</w:t>
            </w:r>
          </w:p>
        </w:tc>
        <w:tc>
          <w:tcPr>
            <w:tcW w:w="1304" w:type="dxa"/>
          </w:tcPr>
          <w:p>
            <w:pPr>
              <w:pStyle w:val="0"/>
              <w:jc w:val="center"/>
            </w:pPr>
            <w:r>
              <w:rPr>
                <w:sz w:val="24"/>
              </w:rPr>
              <w:t xml:space="preserve">Газоиспользующее оборудование, переводимое на альтернативный (резервный или аварийный) вид топлива</w:t>
            </w:r>
          </w:p>
        </w:tc>
        <w:tc>
          <w:tcPr>
            <w:tcW w:w="1077" w:type="dxa"/>
          </w:tcPr>
          <w:p>
            <w:pPr>
              <w:pStyle w:val="0"/>
              <w:jc w:val="center"/>
            </w:pPr>
            <w:r>
              <w:rPr>
                <w:sz w:val="24"/>
              </w:rPr>
              <w:t xml:space="preserve">Время перевода на альтернативный (резервный или аварийный) вид топлива, суток</w:t>
            </w:r>
          </w:p>
        </w:tc>
        <w:tc>
          <w:tcPr>
            <w:tcW w:w="3175" w:type="dxa"/>
          </w:tcPr>
          <w:p>
            <w:pPr>
              <w:pStyle w:val="0"/>
              <w:jc w:val="center"/>
            </w:pPr>
            <w:r>
              <w:rPr>
                <w:sz w:val="24"/>
              </w:rPr>
              <w:t xml:space="preserve">Продолжительность работы на альтернативном (резервном или аварийном) виде топлива при срабатывании его запаса (для организаций с утвержденным нормативным эксплуатационным запасом топлива (далее - НЭЗТ) - время срабатывания утвержденного НЭЗТ), суток</w:t>
            </w:r>
          </w:p>
        </w:tc>
      </w:tr>
      <w:tr>
        <w:tc>
          <w:tcPr>
            <w:tcW w:w="566" w:type="dxa"/>
          </w:tcPr>
          <w:p>
            <w:pPr>
              <w:pStyle w:val="0"/>
              <w:jc w:val="center"/>
            </w:pPr>
            <w:r>
              <w:rPr>
                <w:sz w:val="24"/>
              </w:rPr>
              <w:t xml:space="preserve">1</w:t>
            </w:r>
          </w:p>
        </w:tc>
        <w:tc>
          <w:tcPr>
            <w:tcW w:w="1077" w:type="dxa"/>
          </w:tcPr>
          <w:p>
            <w:pPr>
              <w:pStyle w:val="0"/>
              <w:jc w:val="center"/>
            </w:pPr>
            <w:r>
              <w:rPr>
                <w:sz w:val="24"/>
              </w:rPr>
              <w:t xml:space="preserve">2</w:t>
            </w:r>
          </w:p>
        </w:tc>
        <w:tc>
          <w:tcPr>
            <w:tcW w:w="989"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955" w:type="dxa"/>
          </w:tcPr>
          <w:p>
            <w:pPr>
              <w:pStyle w:val="0"/>
              <w:jc w:val="center"/>
            </w:pPr>
            <w:r>
              <w:rPr>
                <w:sz w:val="24"/>
              </w:rPr>
              <w:t xml:space="preserve">7</w:t>
            </w:r>
          </w:p>
        </w:tc>
        <w:tc>
          <w:tcPr>
            <w:tcW w:w="1077" w:type="dxa"/>
          </w:tcPr>
          <w:p>
            <w:pPr>
              <w:pStyle w:val="0"/>
              <w:jc w:val="center"/>
            </w:pPr>
            <w:r>
              <w:rPr>
                <w:sz w:val="24"/>
              </w:rPr>
              <w:t xml:space="preserve">8</w:t>
            </w:r>
          </w:p>
        </w:tc>
        <w:tc>
          <w:tcPr>
            <w:tcW w:w="1304" w:type="dxa"/>
          </w:tcPr>
          <w:p>
            <w:pPr>
              <w:pStyle w:val="0"/>
              <w:jc w:val="center"/>
            </w:pPr>
            <w:r>
              <w:rPr>
                <w:sz w:val="24"/>
              </w:rPr>
              <w:t xml:space="preserve">9</w:t>
            </w:r>
          </w:p>
        </w:tc>
        <w:tc>
          <w:tcPr>
            <w:tcW w:w="1077" w:type="dxa"/>
          </w:tcPr>
          <w:p>
            <w:pPr>
              <w:pStyle w:val="0"/>
              <w:jc w:val="center"/>
            </w:pPr>
            <w:r>
              <w:rPr>
                <w:sz w:val="24"/>
              </w:rPr>
              <w:t xml:space="preserve">10</w:t>
            </w:r>
          </w:p>
        </w:tc>
        <w:tc>
          <w:tcPr>
            <w:tcW w:w="3175" w:type="dxa"/>
          </w:tcPr>
          <w:p>
            <w:pPr>
              <w:pStyle w:val="0"/>
              <w:jc w:val="center"/>
            </w:pPr>
            <w:r>
              <w:rPr>
                <w:sz w:val="24"/>
              </w:rPr>
              <w:t xml:space="preserve">11</w:t>
            </w:r>
          </w:p>
        </w:tc>
      </w:tr>
      <w:tr>
        <w:tc>
          <w:tcPr>
            <w:tcW w:w="566" w:type="dxa"/>
          </w:tcPr>
          <w:p>
            <w:pPr>
              <w:pStyle w:val="0"/>
            </w:pPr>
            <w:r>
              <w:rPr>
                <w:sz w:val="24"/>
              </w:rPr>
            </w:r>
          </w:p>
        </w:tc>
        <w:tc>
          <w:tcPr>
            <w:tcW w:w="1077" w:type="dxa"/>
          </w:tcPr>
          <w:p>
            <w:pPr>
              <w:pStyle w:val="0"/>
            </w:pPr>
            <w:r>
              <w:rPr>
                <w:sz w:val="24"/>
              </w:rPr>
            </w:r>
          </w:p>
        </w:tc>
        <w:tc>
          <w:tcPr>
            <w:tcW w:w="989"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955"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1077" w:type="dxa"/>
          </w:tcPr>
          <w:p>
            <w:pPr>
              <w:pStyle w:val="0"/>
            </w:pPr>
            <w:r>
              <w:rPr>
                <w:sz w:val="24"/>
              </w:rPr>
            </w:r>
          </w:p>
        </w:tc>
        <w:tc>
          <w:tcPr>
            <w:tcW w:w="317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236"/>
        <w:gridCol w:w="566"/>
        <w:gridCol w:w="6236"/>
      </w:tblGrid>
      <w:tr>
        <w:tc>
          <w:tcPr>
            <w:tcW w:w="6236" w:type="dxa"/>
            <w:tcBorders>
              <w:top w:val="nil"/>
              <w:left w:val="nil"/>
              <w:bottom w:val="nil"/>
              <w:right w:val="nil"/>
            </w:tcBorders>
          </w:tcPr>
          <w:p>
            <w:pPr>
              <w:pStyle w:val="0"/>
            </w:pPr>
            <w:r>
              <w:rPr>
                <w:sz w:val="24"/>
              </w:rPr>
              <w:t xml:space="preserve">СОГЛАСОВАНО:</w:t>
            </w:r>
          </w:p>
        </w:tc>
        <w:tc>
          <w:tcPr>
            <w:tcW w:w="566" w:type="dxa"/>
            <w:tcBorders>
              <w:top w:val="nil"/>
              <w:left w:val="nil"/>
              <w:bottom w:val="nil"/>
              <w:right w:val="nil"/>
            </w:tcBorders>
          </w:tcPr>
          <w:p>
            <w:pPr>
              <w:pStyle w:val="0"/>
            </w:pPr>
            <w:r>
              <w:rPr>
                <w:sz w:val="24"/>
              </w:rPr>
            </w:r>
          </w:p>
        </w:tc>
        <w:tc>
          <w:tcPr>
            <w:tcW w:w="6236" w:type="dxa"/>
            <w:tcBorders>
              <w:top w:val="nil"/>
              <w:left w:val="nil"/>
              <w:bottom w:val="nil"/>
              <w:right w:val="nil"/>
            </w:tcBorders>
          </w:tcPr>
          <w:p>
            <w:pPr>
              <w:pStyle w:val="0"/>
            </w:pPr>
            <w:r>
              <w:rPr>
                <w:sz w:val="24"/>
              </w:rPr>
              <w:t xml:space="preserve">СОГЛАСОВАНО:</w:t>
            </w:r>
          </w:p>
        </w:tc>
      </w:tr>
      <w:tr>
        <w:tc>
          <w:tcPr>
            <w:tcW w:w="6236" w:type="dxa"/>
            <w:tcBorders>
              <w:top w:val="nil"/>
              <w:left w:val="nil"/>
              <w:bottom w:val="nil"/>
              <w:right w:val="nil"/>
            </w:tcBorders>
          </w:tcPr>
          <w:p>
            <w:pPr>
              <w:pStyle w:val="0"/>
            </w:pPr>
            <w:r>
              <w:rPr>
                <w:sz w:val="24"/>
              </w:rPr>
              <w:t xml:space="preserve">Уполномоченное лицо газораспределительной организации:</w:t>
            </w:r>
          </w:p>
        </w:tc>
        <w:tc>
          <w:tcPr>
            <w:tcW w:w="566" w:type="dxa"/>
            <w:tcBorders>
              <w:top w:val="nil"/>
              <w:left w:val="nil"/>
              <w:bottom w:val="nil"/>
              <w:right w:val="nil"/>
            </w:tcBorders>
          </w:tcPr>
          <w:p>
            <w:pPr>
              <w:pStyle w:val="0"/>
            </w:pPr>
            <w:r>
              <w:rPr>
                <w:sz w:val="24"/>
              </w:rPr>
            </w:r>
          </w:p>
        </w:tc>
        <w:tc>
          <w:tcPr>
            <w:tcW w:w="6236" w:type="dxa"/>
            <w:tcBorders>
              <w:top w:val="nil"/>
              <w:left w:val="nil"/>
              <w:bottom w:val="nil"/>
              <w:right w:val="nil"/>
            </w:tcBorders>
          </w:tcPr>
          <w:p>
            <w:pPr>
              <w:pStyle w:val="0"/>
            </w:pPr>
            <w:r>
              <w:rPr>
                <w:sz w:val="24"/>
              </w:rPr>
              <w:t xml:space="preserve">Уполномоченное лицо газотранспортной организации:</w:t>
            </w:r>
          </w:p>
        </w:tc>
      </w:tr>
      <w:tr>
        <w:tc>
          <w:tcPr>
            <w:tcW w:w="6236" w:type="dxa"/>
            <w:tcBorders>
              <w:top w:val="nil"/>
              <w:left w:val="nil"/>
              <w:bottom w:val="single" w:sz="4"/>
              <w:right w:val="nil"/>
            </w:tcBorders>
          </w:tcPr>
          <w:p>
            <w:pPr>
              <w:pStyle w:val="0"/>
            </w:pPr>
            <w:r>
              <w:rPr>
                <w:sz w:val="24"/>
              </w:rPr>
            </w:r>
          </w:p>
        </w:tc>
        <w:tc>
          <w:tcPr>
            <w:tcW w:w="566" w:type="dxa"/>
            <w:tcBorders>
              <w:top w:val="nil"/>
              <w:left w:val="nil"/>
              <w:bottom w:val="nil"/>
              <w:right w:val="nil"/>
            </w:tcBorders>
          </w:tcPr>
          <w:p>
            <w:pPr>
              <w:pStyle w:val="0"/>
            </w:pPr>
            <w:r>
              <w:rPr>
                <w:sz w:val="24"/>
              </w:rPr>
            </w:r>
          </w:p>
        </w:tc>
        <w:tc>
          <w:tcPr>
            <w:tcW w:w="6236" w:type="dxa"/>
            <w:tcBorders>
              <w:top w:val="nil"/>
              <w:left w:val="nil"/>
              <w:bottom w:val="single" w:sz="4"/>
              <w:right w:val="nil"/>
            </w:tcBorders>
          </w:tcPr>
          <w:p>
            <w:pPr>
              <w:pStyle w:val="0"/>
            </w:pPr>
            <w:r>
              <w:rPr>
                <w:sz w:val="24"/>
              </w:rPr>
            </w:r>
          </w:p>
        </w:tc>
      </w:tr>
      <w:tr>
        <w:tc>
          <w:tcPr>
            <w:tcW w:w="6236" w:type="dxa"/>
            <w:tcBorders>
              <w:top w:val="single" w:sz="4"/>
              <w:left w:val="nil"/>
              <w:bottom w:val="nil"/>
              <w:right w:val="nil"/>
            </w:tcBorders>
          </w:tcPr>
          <w:p>
            <w:pPr>
              <w:pStyle w:val="0"/>
            </w:pPr>
            <w:r>
              <w:rPr>
                <w:sz w:val="24"/>
              </w:rPr>
              <w:t xml:space="preserve">(должность, подпись, фамилия, имя, отчество (при наличии)</w:t>
            </w:r>
          </w:p>
        </w:tc>
        <w:tc>
          <w:tcPr>
            <w:tcW w:w="566" w:type="dxa"/>
            <w:tcBorders>
              <w:top w:val="nil"/>
              <w:left w:val="nil"/>
              <w:bottom w:val="nil"/>
              <w:right w:val="nil"/>
            </w:tcBorders>
          </w:tcPr>
          <w:p>
            <w:pPr>
              <w:pStyle w:val="0"/>
            </w:pPr>
            <w:r>
              <w:rPr>
                <w:sz w:val="24"/>
              </w:rPr>
            </w:r>
          </w:p>
        </w:tc>
        <w:tc>
          <w:tcPr>
            <w:tcW w:w="6236" w:type="dxa"/>
            <w:tcBorders>
              <w:top w:val="single" w:sz="4"/>
              <w:left w:val="nil"/>
              <w:bottom w:val="nil"/>
              <w:right w:val="nil"/>
            </w:tcBorders>
          </w:tcPr>
          <w:p>
            <w:pPr>
              <w:pStyle w:val="0"/>
            </w:pPr>
            <w:r>
              <w:rPr>
                <w:sz w:val="24"/>
              </w:rPr>
              <w:t xml:space="preserve">(должность, подпись, фамилия, имя, отчество (при наличии)</w:t>
            </w:r>
          </w:p>
        </w:tc>
      </w:tr>
      <w:tr>
        <w:tc>
          <w:tcPr>
            <w:tcW w:w="6236" w:type="dxa"/>
            <w:tcBorders>
              <w:top w:val="nil"/>
              <w:left w:val="nil"/>
              <w:bottom w:val="nil"/>
              <w:right w:val="nil"/>
            </w:tcBorders>
          </w:tcPr>
          <w:p>
            <w:pPr>
              <w:pStyle w:val="0"/>
              <w:jc w:val="center"/>
            </w:pPr>
            <w:r>
              <w:rPr>
                <w:sz w:val="24"/>
              </w:rPr>
              <w:t xml:space="preserve">Место для печати (при наличии)</w:t>
            </w:r>
          </w:p>
        </w:tc>
        <w:tc>
          <w:tcPr>
            <w:tcW w:w="566" w:type="dxa"/>
            <w:tcBorders>
              <w:top w:val="nil"/>
              <w:left w:val="nil"/>
              <w:bottom w:val="nil"/>
              <w:right w:val="nil"/>
            </w:tcBorders>
          </w:tcPr>
          <w:p>
            <w:pPr>
              <w:pStyle w:val="0"/>
            </w:pPr>
            <w:r>
              <w:rPr>
                <w:sz w:val="24"/>
              </w:rPr>
            </w:r>
          </w:p>
        </w:tc>
        <w:tc>
          <w:tcPr>
            <w:tcW w:w="6236" w:type="dxa"/>
            <w:tcBorders>
              <w:top w:val="nil"/>
              <w:left w:val="nil"/>
              <w:bottom w:val="nil"/>
              <w:right w:val="nil"/>
            </w:tcBorders>
          </w:tcPr>
          <w:p>
            <w:pPr>
              <w:pStyle w:val="0"/>
              <w:jc w:val="center"/>
            </w:pPr>
            <w:r>
              <w:rPr>
                <w:sz w:val="24"/>
              </w:rPr>
              <w:t xml:space="preserve">Место для печати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подготовки и введения</w:t>
      </w:r>
    </w:p>
    <w:p>
      <w:pPr>
        <w:pStyle w:val="0"/>
        <w:jc w:val="right"/>
      </w:pPr>
      <w:r>
        <w:rPr>
          <w:sz w:val="24"/>
        </w:rPr>
        <w:t xml:space="preserve">в действие графиков перевода</w:t>
      </w:r>
    </w:p>
    <w:p>
      <w:pPr>
        <w:pStyle w:val="0"/>
        <w:jc w:val="right"/>
      </w:pPr>
      <w:r>
        <w:rPr>
          <w:sz w:val="24"/>
        </w:rPr>
        <w:t xml:space="preserve">потребителей на альтернативные виды</w:t>
      </w:r>
    </w:p>
    <w:p>
      <w:pPr>
        <w:pStyle w:val="0"/>
        <w:jc w:val="right"/>
      </w:pPr>
      <w:r>
        <w:rPr>
          <w:sz w:val="24"/>
        </w:rPr>
        <w:t xml:space="preserve">топлива (аварийные или резервные)</w:t>
      </w:r>
    </w:p>
    <w:p>
      <w:pPr>
        <w:pStyle w:val="0"/>
        <w:jc w:val="right"/>
      </w:pPr>
      <w:r>
        <w:rPr>
          <w:sz w:val="24"/>
        </w:rPr>
        <w:t xml:space="preserve">и графиков частичного или полного</w:t>
      </w:r>
    </w:p>
    <w:p>
      <w:pPr>
        <w:pStyle w:val="0"/>
        <w:jc w:val="right"/>
      </w:pPr>
      <w:r>
        <w:rPr>
          <w:sz w:val="24"/>
        </w:rPr>
        <w:t xml:space="preserve">ограничения подачи газа потребителям</w:t>
      </w:r>
    </w:p>
    <w:p>
      <w:pPr>
        <w:pStyle w:val="0"/>
        <w:jc w:val="right"/>
      </w:pPr>
      <w:r>
        <w:rPr>
          <w:sz w:val="24"/>
        </w:rPr>
        <w:t xml:space="preserve">в случае нарушения технологического</w:t>
      </w:r>
    </w:p>
    <w:p>
      <w:pPr>
        <w:pStyle w:val="0"/>
        <w:jc w:val="right"/>
      </w:pPr>
      <w:r>
        <w:rPr>
          <w:sz w:val="24"/>
        </w:rPr>
        <w:t xml:space="preserve">режима работы газотранспортной</w:t>
      </w:r>
    </w:p>
    <w:p>
      <w:pPr>
        <w:pStyle w:val="0"/>
        <w:jc w:val="right"/>
      </w:pPr>
      <w:r>
        <w:rPr>
          <w:sz w:val="24"/>
        </w:rPr>
        <w:t xml:space="preserve">системы при аварии, утвержденному</w:t>
      </w:r>
    </w:p>
    <w:p>
      <w:pPr>
        <w:pStyle w:val="0"/>
        <w:jc w:val="right"/>
      </w:pPr>
      <w:r>
        <w:rPr>
          <w:sz w:val="24"/>
        </w:rPr>
        <w:t xml:space="preserve">приказом Минэнерго России</w:t>
      </w:r>
    </w:p>
    <w:p>
      <w:pPr>
        <w:pStyle w:val="0"/>
        <w:jc w:val="right"/>
      </w:pPr>
      <w:r>
        <w:rPr>
          <w:sz w:val="24"/>
        </w:rPr>
        <w:t xml:space="preserve">от 11 апреля 2025 г. N 424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70"/>
        <w:gridCol w:w="4535"/>
      </w:tblGrid>
      <w:tr>
        <w:tc>
          <w:tcPr>
            <w:tcW w:w="9070"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УТВЕРЖДЕН</w:t>
            </w:r>
          </w:p>
        </w:tc>
      </w:tr>
      <w:tr>
        <w:tc>
          <w:tcPr>
            <w:tcW w:w="9070"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pPr>
            <w:r>
              <w:rPr>
                <w:sz w:val="24"/>
              </w:rPr>
            </w:r>
          </w:p>
        </w:tc>
      </w:tr>
      <w:tr>
        <w:tc>
          <w:tcPr>
            <w:tcW w:w="9070"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(исполнительный орган субъекта Российской Федерации)</w:t>
            </w:r>
          </w:p>
        </w:tc>
      </w:tr>
      <w:tr>
        <w:tc>
          <w:tcPr>
            <w:tcW w:w="9070"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N _________ от 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204" w:name="P204"/>
          <w:bookmarkEnd w:id="204"/>
          <w:p>
            <w:pPr>
              <w:pStyle w:val="0"/>
              <w:jc w:val="center"/>
            </w:pPr>
            <w:r>
              <w:rPr>
                <w:sz w:val="24"/>
              </w:rPr>
              <w:t xml:space="preserve">ГРАФИК</w:t>
            </w:r>
          </w:p>
          <w:p>
            <w:pPr>
              <w:pStyle w:val="0"/>
              <w:jc w:val="center"/>
            </w:pPr>
            <w:r>
              <w:rPr>
                <w:sz w:val="24"/>
              </w:rPr>
              <w:t xml:space="preserve">частичного или полного ограничения подачи газа потребителям</w:t>
            </w:r>
          </w:p>
          <w:p>
            <w:pPr>
              <w:pStyle w:val="0"/>
              <w:jc w:val="center"/>
            </w:pPr>
            <w:r>
              <w:rPr>
                <w:sz w:val="24"/>
              </w:rPr>
              <w:t xml:space="preserve">___________________________________________________</w:t>
            </w:r>
          </w:p>
          <w:p>
            <w:pPr>
              <w:pStyle w:val="0"/>
              <w:jc w:val="center"/>
            </w:pPr>
            <w:r>
              <w:rPr>
                <w:sz w:val="24"/>
              </w:rPr>
              <w:t xml:space="preserve">(наименование субъекта Российской Федерации)</w:t>
            </w:r>
          </w:p>
          <w:p>
            <w:pPr>
              <w:pStyle w:val="0"/>
              <w:jc w:val="center"/>
            </w:pPr>
            <w:r>
              <w:rPr>
                <w:sz w:val="24"/>
              </w:rPr>
              <w:t xml:space="preserve">в случае нарушения технологического режима работы</w:t>
            </w:r>
          </w:p>
          <w:p>
            <w:pPr>
              <w:pStyle w:val="0"/>
              <w:jc w:val="center"/>
            </w:pPr>
            <w:r>
              <w:rPr>
                <w:sz w:val="24"/>
              </w:rPr>
              <w:t xml:space="preserve">газотранспортной системы при аварии</w:t>
            </w:r>
          </w:p>
          <w:p>
            <w:pPr>
              <w:pStyle w:val="0"/>
              <w:jc w:val="center"/>
            </w:pPr>
            <w:r>
              <w:rPr>
                <w:sz w:val="24"/>
              </w:rPr>
              <w:t xml:space="preserve">на ___ квартал ____ года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040"/>
        <w:gridCol w:w="1077"/>
        <w:gridCol w:w="1190"/>
        <w:gridCol w:w="1077"/>
        <w:gridCol w:w="1190"/>
        <w:gridCol w:w="3061"/>
        <w:gridCol w:w="2097"/>
        <w:gridCol w:w="1303"/>
      </w:tblGrid>
      <w:tr>
        <w:tc>
          <w:tcPr>
            <w:tcW w:w="566" w:type="dxa"/>
          </w:tcPr>
          <w:p>
            <w:pPr>
              <w:pStyle w:val="0"/>
              <w:jc w:val="center"/>
            </w:pPr>
            <w:r>
              <w:rPr>
                <w:sz w:val="24"/>
              </w:rPr>
              <w:t xml:space="preserve">N п/п</w:t>
            </w:r>
          </w:p>
        </w:tc>
        <w:tc>
          <w:tcPr>
            <w:tcW w:w="2040" w:type="dxa"/>
          </w:tcPr>
          <w:p>
            <w:pPr>
              <w:pStyle w:val="0"/>
              <w:jc w:val="center"/>
            </w:pPr>
            <w:r>
              <w:rPr>
                <w:sz w:val="24"/>
              </w:rPr>
              <w:t xml:space="preserve">Наименование газораспределительной станции, от которой осуществляется газоснабжение организации - потребителя газа</w:t>
            </w:r>
          </w:p>
        </w:tc>
        <w:tc>
          <w:tcPr>
            <w:tcW w:w="1077" w:type="dxa"/>
          </w:tcPr>
          <w:p>
            <w:pPr>
              <w:pStyle w:val="0"/>
              <w:jc w:val="center"/>
            </w:pPr>
            <w:r>
              <w:rPr>
                <w:sz w:val="24"/>
              </w:rPr>
              <w:t xml:space="preserve">Наименование организации - потребителя газа</w:t>
            </w:r>
          </w:p>
        </w:tc>
        <w:tc>
          <w:tcPr>
            <w:tcW w:w="1190" w:type="dxa"/>
          </w:tcPr>
          <w:p>
            <w:pPr>
              <w:pStyle w:val="0"/>
              <w:jc w:val="center"/>
            </w:pPr>
            <w:r>
              <w:rPr>
                <w:sz w:val="24"/>
              </w:rPr>
              <w:t xml:space="preserve">Местонахождение организации - потребителя газа</w:t>
            </w:r>
          </w:p>
        </w:tc>
        <w:tc>
          <w:tcPr>
            <w:tcW w:w="1077" w:type="dxa"/>
          </w:tcPr>
          <w:p>
            <w:pPr>
              <w:pStyle w:val="0"/>
              <w:jc w:val="center"/>
            </w:pPr>
            <w:r>
              <w:rPr>
                <w:sz w:val="24"/>
              </w:rPr>
              <w:t xml:space="preserve">Наименование точки подключения</w:t>
            </w:r>
          </w:p>
        </w:tc>
        <w:tc>
          <w:tcPr>
            <w:tcW w:w="1190" w:type="dxa"/>
          </w:tcPr>
          <w:p>
            <w:pPr>
              <w:pStyle w:val="0"/>
              <w:jc w:val="center"/>
            </w:pPr>
            <w:r>
              <w:rPr>
                <w:sz w:val="24"/>
              </w:rPr>
              <w:t xml:space="preserve">Местонахождение точки подключения</w:t>
            </w:r>
          </w:p>
        </w:tc>
        <w:tc>
          <w:tcPr>
            <w:tcW w:w="3061" w:type="dxa"/>
          </w:tcPr>
          <w:p>
            <w:pPr>
              <w:pStyle w:val="0"/>
              <w:jc w:val="center"/>
            </w:pPr>
            <w:r>
              <w:rPr>
                <w:sz w:val="24"/>
              </w:rPr>
              <w:t xml:space="preserve">Среднесуточная норма поставки газа, тысяч метров кубических в сутки/максимальный объем высвобождения газа при аварийной ситуации, тысяч метров кубических в сутки</w:t>
            </w:r>
          </w:p>
        </w:tc>
        <w:tc>
          <w:tcPr>
            <w:tcW w:w="2097" w:type="dxa"/>
          </w:tcPr>
          <w:p>
            <w:pPr>
              <w:pStyle w:val="0"/>
              <w:jc w:val="center"/>
            </w:pPr>
            <w:r>
              <w:rPr>
                <w:sz w:val="24"/>
              </w:rPr>
              <w:t xml:space="preserve">Бронируемый объем газопотребления (при наличии брони газопотребления), тысяч метров кубических в сутки</w:t>
            </w:r>
          </w:p>
        </w:tc>
        <w:tc>
          <w:tcPr>
            <w:tcW w:w="1303" w:type="dxa"/>
          </w:tcPr>
          <w:p>
            <w:pPr>
              <w:pStyle w:val="0"/>
              <w:jc w:val="center"/>
            </w:pPr>
            <w:r>
              <w:rPr>
                <w:sz w:val="24"/>
              </w:rPr>
              <w:t xml:space="preserve">Примечание</w:t>
            </w:r>
          </w:p>
        </w:tc>
      </w:tr>
      <w:tr>
        <w:tc>
          <w:tcPr>
            <w:tcW w:w="566" w:type="dxa"/>
          </w:tcPr>
          <w:p>
            <w:pPr>
              <w:pStyle w:val="0"/>
              <w:jc w:val="center"/>
            </w:pPr>
            <w:r>
              <w:rPr>
                <w:sz w:val="24"/>
              </w:rPr>
              <w:t xml:space="preserve">1</w:t>
            </w:r>
          </w:p>
        </w:tc>
        <w:tc>
          <w:tcPr>
            <w:tcW w:w="2040" w:type="dxa"/>
          </w:tcPr>
          <w:p>
            <w:pPr>
              <w:pStyle w:val="0"/>
              <w:jc w:val="center"/>
            </w:pPr>
            <w:r>
              <w:rPr>
                <w:sz w:val="24"/>
              </w:rPr>
              <w:t xml:space="preserve">2</w:t>
            </w:r>
          </w:p>
        </w:tc>
        <w:tc>
          <w:tcPr>
            <w:tcW w:w="1077" w:type="dxa"/>
          </w:tcPr>
          <w:p>
            <w:pPr>
              <w:pStyle w:val="0"/>
              <w:jc w:val="center"/>
            </w:pPr>
            <w:r>
              <w:rPr>
                <w:sz w:val="24"/>
              </w:rPr>
              <w:t xml:space="preserve">3</w:t>
            </w:r>
          </w:p>
        </w:tc>
        <w:tc>
          <w:tcPr>
            <w:tcW w:w="1190" w:type="dxa"/>
          </w:tcPr>
          <w:p>
            <w:pPr>
              <w:pStyle w:val="0"/>
              <w:jc w:val="center"/>
            </w:pPr>
            <w:r>
              <w:rPr>
                <w:sz w:val="24"/>
              </w:rPr>
              <w:t xml:space="preserve">4</w:t>
            </w:r>
          </w:p>
        </w:tc>
        <w:tc>
          <w:tcPr>
            <w:tcW w:w="1077" w:type="dxa"/>
          </w:tcPr>
          <w:p>
            <w:pPr>
              <w:pStyle w:val="0"/>
              <w:jc w:val="center"/>
            </w:pPr>
            <w:r>
              <w:rPr>
                <w:sz w:val="24"/>
              </w:rPr>
              <w:t xml:space="preserve">5</w:t>
            </w:r>
          </w:p>
        </w:tc>
        <w:tc>
          <w:tcPr>
            <w:tcW w:w="1190" w:type="dxa"/>
          </w:tcPr>
          <w:p>
            <w:pPr>
              <w:pStyle w:val="0"/>
              <w:jc w:val="center"/>
            </w:pPr>
            <w:r>
              <w:rPr>
                <w:sz w:val="24"/>
              </w:rPr>
              <w:t xml:space="preserve">6</w:t>
            </w:r>
          </w:p>
        </w:tc>
        <w:tc>
          <w:tcPr>
            <w:tcW w:w="3061" w:type="dxa"/>
          </w:tcPr>
          <w:p>
            <w:pPr>
              <w:pStyle w:val="0"/>
              <w:jc w:val="center"/>
            </w:pPr>
            <w:r>
              <w:rPr>
                <w:sz w:val="24"/>
              </w:rPr>
              <w:t xml:space="preserve">7</w:t>
            </w:r>
          </w:p>
        </w:tc>
        <w:tc>
          <w:tcPr>
            <w:tcW w:w="2097" w:type="dxa"/>
          </w:tcPr>
          <w:p>
            <w:pPr>
              <w:pStyle w:val="0"/>
              <w:jc w:val="center"/>
            </w:pPr>
            <w:r>
              <w:rPr>
                <w:sz w:val="24"/>
              </w:rPr>
              <w:t xml:space="preserve">8</w:t>
            </w:r>
          </w:p>
        </w:tc>
        <w:tc>
          <w:tcPr>
            <w:tcW w:w="1303" w:type="dxa"/>
          </w:tcPr>
          <w:p>
            <w:pPr>
              <w:pStyle w:val="0"/>
              <w:jc w:val="center"/>
            </w:pPr>
            <w:r>
              <w:rPr>
                <w:sz w:val="24"/>
              </w:rPr>
              <w:t xml:space="preserve">9</w:t>
            </w:r>
          </w:p>
        </w:tc>
      </w:tr>
      <w:tr>
        <w:tc>
          <w:tcPr>
            <w:tcW w:w="566"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3061" w:type="dxa"/>
          </w:tcPr>
          <w:p>
            <w:pPr>
              <w:pStyle w:val="0"/>
            </w:pPr>
            <w:r>
              <w:rPr>
                <w:sz w:val="24"/>
              </w:rPr>
            </w:r>
          </w:p>
        </w:tc>
        <w:tc>
          <w:tcPr>
            <w:tcW w:w="2097" w:type="dxa"/>
          </w:tcPr>
          <w:p>
            <w:pPr>
              <w:pStyle w:val="0"/>
            </w:pPr>
            <w:r>
              <w:rPr>
                <w:sz w:val="24"/>
              </w:rPr>
            </w:r>
          </w:p>
        </w:tc>
        <w:tc>
          <w:tcPr>
            <w:tcW w:w="1303"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dor:id="rId17"/>
      <w:headerReference w:type="first" dor:id="rId17"/>
      <w:footerReference w:type="default" dor:id="rId18"/>
      <w:footerReference w:type="first" dor:id="rId18"/>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Минэнерго России от 11.04.2025 N 424</w:t>
            <w:br/>
            <w:t>"Об утверждении Порядка подготовки и введения в действие графиков перевода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Минэнерго России от 11.04.2025 N 424</w:t>
            <w:br/>
            <w:t>"Об утверждении Порядка подготовки и введения в действие графиков перевода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Relationships xmlns="http://schemas.openxmlformats.org/package/2006/relationships">
	<Relationship Id="rId1" Type="http://schemas.openxmlformats.org/officeDocument/2006/relationships/settings" Target="word/settings.xml"/>
	<Relationship Id="rId2" Type="http://schemas.openxmlformats.org/officeDocument/2006/relationships/styles" Target="styles.xml"/>
	<Relationship Id="rId3" Type="http://schemas.openxmlformats.org/officeDocument/2006/relationships/image" Target="media/image1.png"/>
	<Relationship Id="rId4" Type="http://schemas.openxmlformats.org/officeDocument/2006/relationships/hyperlink" Target="https://www.consultant.ru" TargetMode="External"/>
	<Relationship Id="rId5" Type="http://schemas.openxmlformats.org/officeDocument/2006/relationships/hyperlink" Target="https://www.consultant.r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500821&amp;date=14.11.2025&amp;dst=154&amp;field=134" TargetMode="External"/>
	<Relationship Id="rId9" Type="http://schemas.openxmlformats.org/officeDocument/2006/relationships/hyperlink" Target="https://login.consultant.ru/link/?req=doc&amp;base=LAW&amp;n=516239&amp;date=14.11.2025&amp;dst=108&amp;field=134" TargetMode="External"/>
	<Relationship Id="rId10" Type="http://schemas.openxmlformats.org/officeDocument/2006/relationships/hyperlink" Target="https://login.consultant.ru/link/?req=doc&amp;base=LAW&amp;n=40922&amp;date=14.11.2025" TargetMode="External"/>
	<Relationship Id="rId11" Type="http://schemas.openxmlformats.org/officeDocument/2006/relationships/hyperlink" Target="https://login.consultant.ru/link/?req=doc&amp;base=LAW&amp;n=125834&amp;date=14.11.2025" TargetMode="External"/>
	<Relationship Id="rId12" Type="http://schemas.openxmlformats.org/officeDocument/2006/relationships/hyperlink" Target="https://login.consultant.ru/link/?req=doc&amp;base=LAW&amp;n=500821&amp;date=14.11.2025&amp;dst=88&amp;field=134" TargetMode="External"/>
	<Relationship Id="rId13" Type="http://schemas.openxmlformats.org/officeDocument/2006/relationships/hyperlink" Target="https://login.consultant.ru/link/?req=doc&amp;base=LAW&amp;n=500821&amp;date=14.11.2025&amp;dst=100039&amp;field=134" TargetMode="External"/>
	<Relationship Id="rId14" Type="http://schemas.openxmlformats.org/officeDocument/2006/relationships/hyperlink" Target="https://login.consultant.ru/link/?req=doc&amp;base=LAW&amp;n=500821&amp;date=14.11.2025&amp;dst=3&amp;field=134" TargetMode="External"/>
	<Relationship Id="rId15" Type="http://schemas.openxmlformats.org/officeDocument/2006/relationships/hyperlink" Target="https://login.consultant.ru/link/?req=doc&amp;base=LAW&amp;n=500031&amp;date=14.11.2025&amp;dst=100020&amp;field=134" TargetMode="External"/>
	<Relationship Id="rId16" Type="http://schemas.openxmlformats.org/officeDocument/2006/relationships/hyperlink" Target="https://login.consultant.ru/link/?req=doc&amp;base=LAW&amp;n=500031&amp;date=14.11.2025&amp;dst=100201&amp;field=134" TargetMode="External"/>
	<Relationship Id="rId17" Type="http://schemas.openxmlformats.org/officeDocument/2006/relationships/header" Target="header2.xml"/>
	<Relationship Id="rId18" Type="http://schemas.openxmlformats.org/officeDocument/2006/relationships/footer" Target="footer2.xml"/><Relationship Target="media/Image2.jpeg" Type="http://schemas.openxmlformats.org/officeDocument/2006/relationships/image" Id="rId19"/>
</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Минэнерго России от 11.04.2025 N 424
"Об утверждении Порядка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(Зарегистрировано в Минюсте России 30.05.2025 N 82458)</dc:title>
  <dcterms:created xsi:type="dcterms:W3CDTF">2025-11-14T08:03:41Z</dcterms:created>
</cp:coreProperties>
</file>